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NJKQ-2024CG045</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项目名称：减压沸腾清洗机维保服务</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二O二四年七月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w:t>
      </w:r>
      <w:r>
        <w:rPr>
          <w:color w:val="000000"/>
          <w:szCs w:val="21"/>
        </w:rPr>
        <w:t>减压沸腾清洗机维保服务</w:t>
      </w:r>
      <w:r>
        <w:rPr>
          <w:rFonts w:hint="eastAsia"/>
          <w:color w:val="000000"/>
          <w:szCs w:val="21"/>
        </w:rPr>
        <w:t>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1.项目编号：NJKQ-2024CG045</w:t>
      </w:r>
    </w:p>
    <w:p>
      <w:pPr>
        <w:rPr>
          <w:color w:val="000000"/>
          <w:szCs w:val="21"/>
        </w:rPr>
      </w:pPr>
      <w:r>
        <w:rPr>
          <w:rFonts w:hint="eastAsia"/>
          <w:color w:val="000000"/>
          <w:szCs w:val="21"/>
        </w:rPr>
        <w:t>2.项目名称：</w:t>
      </w:r>
      <w:r>
        <w:rPr>
          <w:color w:val="000000"/>
          <w:szCs w:val="21"/>
        </w:rPr>
        <w:t>减压沸腾清洗机维保服务</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减压沸腾清洗机维保服务</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2.9</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r>
              <w:rPr>
                <w:rFonts w:hint="eastAsia" w:ascii="微软雅黑" w:hAnsi="微软雅黑" w:eastAsia="微软雅黑"/>
                <w:color w:val="000000"/>
                <w:szCs w:val="21"/>
              </w:rPr>
              <w:t>品牌：三浦工业</w:t>
            </w:r>
          </w:p>
        </w:tc>
      </w:tr>
    </w:tbl>
    <w:p>
      <w:pPr>
        <w:spacing w:before="120" w:beforeLines="50"/>
        <w:rPr>
          <w:b/>
          <w:color w:val="000000"/>
          <w:szCs w:val="21"/>
        </w:rPr>
      </w:pPr>
      <w:r>
        <w:rPr>
          <w:rFonts w:hint="eastAsia"/>
          <w:b/>
          <w:color w:val="000000"/>
          <w:szCs w:val="21"/>
        </w:rPr>
        <w:t>5.特殊要求</w:t>
      </w:r>
    </w:p>
    <w:p>
      <w:pPr>
        <w:spacing w:line="360" w:lineRule="auto"/>
        <w:ind w:firstLine="361" w:firstLineChars="150"/>
        <w:rPr>
          <w:rFonts w:cs="Times New Roman"/>
          <w:b/>
          <w:bCs/>
        </w:rPr>
      </w:pPr>
      <w:r>
        <w:rPr>
          <w:rFonts w:hint="eastAsia" w:cs="Times New Roman"/>
          <w:b/>
          <w:bCs/>
        </w:rPr>
        <w:t>（1）提供使用原厂配件承诺函（格式自拟），且采购人有权在合同执行过程中随机抽检相关配件采购单等方式检验是否为原厂配件。</w:t>
      </w: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4</w:t>
      </w:r>
      <w:r>
        <w:rPr>
          <w:rFonts w:hint="eastAsia"/>
          <w:b/>
          <w:color w:val="333333"/>
          <w:szCs w:val="21"/>
          <w:lang w:bidi="ar"/>
        </w:rPr>
        <w:t>-</w:t>
      </w:r>
      <w:r>
        <w:rPr>
          <w:b/>
          <w:color w:val="333333"/>
          <w:szCs w:val="21"/>
          <w:lang w:bidi="ar"/>
        </w:rPr>
        <w:t>7-</w:t>
      </w:r>
      <w:r>
        <w:rPr>
          <w:rFonts w:hint="eastAsia"/>
          <w:b/>
          <w:color w:val="333333"/>
          <w:szCs w:val="21"/>
          <w:lang w:val="en-US" w:eastAsia="zh-CN" w:bidi="ar"/>
        </w:rPr>
        <w:t>17</w:t>
      </w:r>
      <w:r>
        <w:rPr>
          <w:b/>
          <w:color w:val="333333"/>
          <w:szCs w:val="21"/>
          <w:lang w:bidi="ar"/>
        </w:rPr>
        <w:t xml:space="preserve"> </w:t>
      </w:r>
      <w:r>
        <w:rPr>
          <w:rFonts w:hint="eastAsia"/>
          <w:b/>
          <w:color w:val="333333"/>
          <w:szCs w:val="21"/>
          <w:lang w:bidi="ar"/>
        </w:rPr>
        <w:t xml:space="preserve"> 1</w:t>
      </w:r>
      <w:r>
        <w:rPr>
          <w:rFonts w:hint="eastAsia"/>
          <w:b/>
          <w:color w:val="333333"/>
          <w:szCs w:val="21"/>
          <w:lang w:val="en-US" w:eastAsia="zh-CN" w:bidi="ar"/>
        </w:rPr>
        <w:t>7</w:t>
      </w:r>
      <w:r>
        <w:rPr>
          <w:rFonts w:hint="eastAsia"/>
          <w:b/>
          <w:color w:val="333333"/>
          <w:szCs w:val="21"/>
          <w:lang w:bidi="ar"/>
        </w:rPr>
        <w:t>:00</w:t>
      </w:r>
    </w:p>
    <w:p>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color w:val="000000"/>
          <w:szCs w:val="21"/>
        </w:rPr>
      </w:pPr>
      <w:r>
        <w:rPr>
          <w:b/>
          <w:color w:val="000000"/>
          <w:szCs w:val="21"/>
        </w:rPr>
        <w:t>医院纪检监督电话</w:t>
      </w:r>
      <w:r>
        <w:rPr>
          <w:b/>
          <w:color w:val="000000"/>
          <w:sz w:val="22"/>
          <w:szCs w:val="22"/>
        </w:rPr>
        <w:t>：025-83620316</w:t>
      </w:r>
    </w:p>
    <w:p>
      <w:pPr>
        <w:rPr>
          <w:color w:val="000000"/>
          <w:szCs w:val="21"/>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提交响应文件开始时间：202</w:t>
      </w:r>
      <w:r>
        <w:rPr>
          <w:color w:val="000000"/>
          <w:szCs w:val="21"/>
        </w:rPr>
        <w:t>4</w:t>
      </w:r>
      <w:r>
        <w:rPr>
          <w:rFonts w:hint="eastAsia"/>
          <w:color w:val="000000"/>
          <w:szCs w:val="21"/>
        </w:rPr>
        <w:t>-</w:t>
      </w:r>
      <w:r>
        <w:rPr>
          <w:color w:val="000000"/>
          <w:szCs w:val="21"/>
        </w:rPr>
        <w:t>07-1</w:t>
      </w:r>
      <w:r>
        <w:rPr>
          <w:rFonts w:hint="eastAsia"/>
          <w:color w:val="000000"/>
          <w:szCs w:val="21"/>
          <w:lang w:val="en-US" w:eastAsia="zh-CN"/>
        </w:rPr>
        <w:t>8</w:t>
      </w:r>
      <w:r>
        <w:rPr>
          <w:color w:val="000000"/>
          <w:szCs w:val="21"/>
        </w:rPr>
        <w:t xml:space="preserve"> </w:t>
      </w:r>
      <w:r>
        <w:rPr>
          <w:rFonts w:hint="eastAsia"/>
          <w:color w:val="000000"/>
          <w:szCs w:val="21"/>
          <w:lang w:val="en-US" w:eastAsia="zh-CN"/>
        </w:rPr>
        <w:t>14</w:t>
      </w:r>
      <w:r>
        <w:rPr>
          <w:rFonts w:hint="eastAsia"/>
          <w:color w:val="000000"/>
          <w:szCs w:val="21"/>
        </w:rPr>
        <w:t>:</w:t>
      </w:r>
      <w:r>
        <w:rPr>
          <w:rFonts w:hint="eastAsia"/>
          <w:color w:val="000000"/>
          <w:szCs w:val="21"/>
          <w:lang w:val="en-US" w:eastAsia="zh-CN"/>
        </w:rPr>
        <w:t>3</w:t>
      </w:r>
      <w:r>
        <w:rPr>
          <w:color w:val="000000"/>
          <w:szCs w:val="21"/>
        </w:rPr>
        <w:t>0</w:t>
      </w:r>
      <w:r>
        <w:rPr>
          <w:rFonts w:hint="eastAsia"/>
          <w:color w:val="000000"/>
          <w:szCs w:val="21"/>
        </w:rPr>
        <w:t xml:space="preserve"> </w:t>
      </w:r>
      <w:r>
        <w:rPr>
          <w:color w:val="000000"/>
          <w:szCs w:val="21"/>
        </w:rPr>
        <w:t xml:space="preserve"> </w:t>
      </w:r>
    </w:p>
    <w:p>
      <w:pPr>
        <w:rPr>
          <w:color w:val="000000"/>
          <w:szCs w:val="21"/>
        </w:rPr>
      </w:pPr>
      <w:r>
        <w:rPr>
          <w:rFonts w:hint="eastAsia"/>
          <w:color w:val="000000"/>
          <w:szCs w:val="21"/>
        </w:rPr>
        <w:t>提交响应文件截止时间：202</w:t>
      </w:r>
      <w:r>
        <w:rPr>
          <w:color w:val="000000"/>
          <w:szCs w:val="21"/>
        </w:rPr>
        <w:t>4</w:t>
      </w:r>
      <w:r>
        <w:rPr>
          <w:rFonts w:hint="eastAsia"/>
          <w:color w:val="000000"/>
          <w:szCs w:val="21"/>
        </w:rPr>
        <w:t>-</w:t>
      </w:r>
      <w:r>
        <w:rPr>
          <w:color w:val="000000"/>
          <w:szCs w:val="21"/>
        </w:rPr>
        <w:t>07-1</w:t>
      </w:r>
      <w:r>
        <w:rPr>
          <w:rFonts w:hint="eastAsia"/>
          <w:color w:val="000000"/>
          <w:szCs w:val="21"/>
          <w:lang w:val="en-US" w:eastAsia="zh-CN"/>
        </w:rPr>
        <w:t>8</w:t>
      </w:r>
      <w:r>
        <w:rPr>
          <w:color w:val="000000"/>
          <w:szCs w:val="21"/>
        </w:rPr>
        <w:t xml:space="preserve"> </w:t>
      </w:r>
      <w:r>
        <w:rPr>
          <w:rFonts w:hint="eastAsia"/>
          <w:color w:val="000000"/>
          <w:szCs w:val="21"/>
          <w:lang w:val="en-US" w:eastAsia="zh-CN"/>
        </w:rPr>
        <w:t>14</w:t>
      </w:r>
      <w:r>
        <w:rPr>
          <w:rFonts w:hint="eastAsia"/>
          <w:color w:val="000000"/>
          <w:szCs w:val="21"/>
        </w:rPr>
        <w:t>:</w:t>
      </w:r>
      <w:r>
        <w:rPr>
          <w:rFonts w:hint="eastAsia"/>
          <w:color w:val="000000"/>
          <w:szCs w:val="21"/>
          <w:lang w:val="en-US" w:eastAsia="zh-CN"/>
        </w:rPr>
        <w:t>5</w:t>
      </w:r>
      <w:r>
        <w:rPr>
          <w:color w:val="000000"/>
          <w:szCs w:val="21"/>
        </w:rPr>
        <w:t>5</w:t>
      </w:r>
      <w:r>
        <w:rPr>
          <w:rFonts w:hint="eastAsia"/>
          <w:color w:val="000000"/>
          <w:szCs w:val="21"/>
        </w:rPr>
        <w:t xml:space="preserve"> </w:t>
      </w:r>
      <w:r>
        <w:rPr>
          <w:color w:val="000000"/>
          <w:szCs w:val="21"/>
        </w:rPr>
        <w:t xml:space="preserve"> </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时间：202</w:t>
      </w:r>
      <w:r>
        <w:rPr>
          <w:color w:val="000000"/>
          <w:szCs w:val="21"/>
        </w:rPr>
        <w:t>4</w:t>
      </w:r>
      <w:r>
        <w:rPr>
          <w:rFonts w:hint="eastAsia"/>
          <w:color w:val="000000"/>
          <w:szCs w:val="21"/>
        </w:rPr>
        <w:t>-</w:t>
      </w:r>
      <w:r>
        <w:rPr>
          <w:color w:val="000000"/>
          <w:szCs w:val="21"/>
        </w:rPr>
        <w:t>07-1</w:t>
      </w:r>
      <w:r>
        <w:rPr>
          <w:rFonts w:hint="eastAsia"/>
          <w:color w:val="000000"/>
          <w:szCs w:val="21"/>
          <w:lang w:val="en-US" w:eastAsia="zh-CN"/>
        </w:rPr>
        <w:t>8</w:t>
      </w:r>
      <w:r>
        <w:rPr>
          <w:color w:val="000000"/>
          <w:szCs w:val="21"/>
        </w:rPr>
        <w:t xml:space="preserve"> </w:t>
      </w:r>
      <w:r>
        <w:rPr>
          <w:rFonts w:hint="eastAsia"/>
          <w:color w:val="000000"/>
          <w:szCs w:val="21"/>
          <w:lang w:val="en-US" w:eastAsia="zh-CN"/>
        </w:rPr>
        <w:t>15</w:t>
      </w:r>
      <w:r>
        <w:rPr>
          <w:rFonts w:hint="eastAsia"/>
          <w:color w:val="000000"/>
          <w:szCs w:val="21"/>
        </w:rPr>
        <w:t>:</w:t>
      </w:r>
      <w:r>
        <w:rPr>
          <w:rFonts w:hint="eastAsia"/>
          <w:color w:val="000000"/>
          <w:szCs w:val="21"/>
          <w:lang w:val="en-US" w:eastAsia="zh-CN"/>
        </w:rPr>
        <w:t>0</w:t>
      </w:r>
      <w:r>
        <w:rPr>
          <w:color w:val="000000"/>
          <w:szCs w:val="21"/>
        </w:rPr>
        <w:t>0</w:t>
      </w:r>
      <w:r>
        <w:rPr>
          <w:rFonts w:hint="eastAsia"/>
          <w:color w:val="000000"/>
          <w:szCs w:val="21"/>
        </w:rPr>
        <w:t xml:space="preserve"> </w:t>
      </w:r>
      <w:r>
        <w:rPr>
          <w:color w:val="000000"/>
          <w:szCs w:val="21"/>
        </w:rPr>
        <w:t xml:space="preserve"> </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bookmarkStart w:id="5" w:name="_GoBack"/>
      <w:bookmarkEnd w:id="5"/>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widowControl w:val="0"/>
        <w:autoSpaceDE w:val="0"/>
        <w:autoSpaceDN w:val="0"/>
        <w:adjustRightInd w:val="0"/>
        <w:jc w:val="center"/>
        <w:rPr>
          <w:rFonts w:ascii="黑体" w:eastAsia="黑体"/>
          <w:b/>
          <w:color w:val="000000"/>
          <w:sz w:val="36"/>
          <w:szCs w:val="36"/>
        </w:rPr>
      </w:pPr>
    </w:p>
    <w:p>
      <w:pPr>
        <w:widowControl w:val="0"/>
        <w:autoSpaceDE w:val="0"/>
        <w:autoSpaceDN w:val="0"/>
        <w:adjustRightInd w:val="0"/>
        <w:jc w:val="center"/>
        <w:rPr>
          <w:rFonts w:ascii="黑体" w:eastAsia="黑体"/>
          <w:b/>
          <w:color w:val="000000"/>
          <w:sz w:val="36"/>
          <w:szCs w:val="36"/>
        </w:rPr>
      </w:pPr>
    </w:p>
    <w:tbl>
      <w:tblPr>
        <w:tblStyle w:val="55"/>
        <w:tblpPr w:leftFromText="181" w:rightFromText="181" w:vertAnchor="page" w:horzAnchor="margin" w:tblpXSpec="center" w:tblpY="1411"/>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654"/>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评分因素</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评审标准</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1</w:t>
            </w:r>
          </w:p>
        </w:tc>
        <w:tc>
          <w:tcPr>
            <w:tcW w:w="1276" w:type="dxa"/>
            <w:tcBorders>
              <w:top w:val="single" w:color="auto" w:sz="4" w:space="0"/>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价格</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r>
              <w:rPr>
                <w:rFonts w:hint="eastAsia"/>
                <w:color w:val="00000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2</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技术</w:t>
            </w:r>
          </w:p>
        </w:tc>
        <w:tc>
          <w:tcPr>
            <w:tcW w:w="7654" w:type="dxa"/>
            <w:tcBorders>
              <w:top w:val="single" w:color="auto" w:sz="4" w:space="0"/>
              <w:left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参数全部满足采购要求的得满分</w:t>
            </w:r>
            <w:r>
              <w:rPr>
                <w:color w:val="000000"/>
                <w:szCs w:val="21"/>
              </w:rPr>
              <w:t>；</w:t>
            </w:r>
            <w:r>
              <w:rPr>
                <w:rFonts w:hint="eastAsia"/>
                <w:color w:val="000000"/>
                <w:szCs w:val="21"/>
              </w:rPr>
              <w:t>★指标不允许负偏离，有一项负偏离做废标处理；</w:t>
            </w:r>
            <w:r>
              <w:rPr>
                <w:rFonts w:hint="eastAsia"/>
                <w:b/>
                <w:color w:val="000000"/>
                <w:szCs w:val="21"/>
              </w:rPr>
              <w:t>非★号指标每负偏离一项扣</w:t>
            </w:r>
            <w:r>
              <w:rPr>
                <w:b/>
                <w:color w:val="000000"/>
                <w:szCs w:val="21"/>
              </w:rPr>
              <w:t>2分</w:t>
            </w:r>
            <w:r>
              <w:rPr>
                <w:color w:val="000000"/>
                <w:szCs w:val="21"/>
              </w:rPr>
              <w:t>，扣完为止。</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资质</w:t>
            </w:r>
          </w:p>
        </w:tc>
        <w:tc>
          <w:tcPr>
            <w:tcW w:w="7654" w:type="dxa"/>
            <w:tcBorders>
              <w:left w:val="single" w:color="auto" w:sz="4" w:space="0"/>
              <w:bottom w:val="single" w:color="auto" w:sz="4" w:space="0"/>
              <w:right w:val="single" w:color="auto" w:sz="4" w:space="0"/>
            </w:tcBorders>
            <w:vAlign w:val="center"/>
          </w:tcPr>
          <w:p>
            <w:pPr>
              <w:widowControl w:val="0"/>
              <w:adjustRightInd w:val="0"/>
              <w:snapToGrid w:val="0"/>
              <w:rPr>
                <w:szCs w:val="21"/>
              </w:rPr>
            </w:pPr>
            <w:r>
              <w:rPr>
                <w:rFonts w:hint="eastAsia"/>
                <w:szCs w:val="21"/>
              </w:rPr>
              <w:t>提供三浦工业品牌</w:t>
            </w:r>
            <w:r>
              <w:rPr>
                <w:szCs w:val="21"/>
              </w:rPr>
              <w:t>（代理）维修授权，得10分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1</w:t>
            </w:r>
            <w:r>
              <w:rPr>
                <w:rFonts w:ascii="Times New Roman" w:hAnsi="Times New Roman" w:cs="Times New Roman"/>
                <w:bCs/>
                <w:color w:val="000000"/>
                <w:kern w:val="2"/>
                <w:sz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4</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维保服务技术能力</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textAlignment w:val="center"/>
              <w:rPr>
                <w:color w:val="000000"/>
                <w:szCs w:val="21"/>
              </w:rPr>
            </w:pPr>
            <w:r>
              <w:rPr>
                <w:rFonts w:hint="eastAsia"/>
                <w:color w:val="000000"/>
                <w:szCs w:val="21"/>
              </w:rPr>
              <w:t>应答人具有维修保养设备能力的工程师（提供培训证书等证明材料）。工程师每有一人得</w:t>
            </w:r>
            <w:r>
              <w:rPr>
                <w:color w:val="000000"/>
                <w:szCs w:val="21"/>
              </w:rPr>
              <w:t>2分，最多得6分。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5</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维修业绩</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textAlignment w:val="center"/>
              <w:rPr>
                <w:color w:val="000000"/>
                <w:szCs w:val="21"/>
              </w:rPr>
            </w:pPr>
            <w:r>
              <w:rPr>
                <w:rFonts w:hint="eastAsia" w:cs="Times New Roman"/>
                <w:bCs/>
              </w:rPr>
              <w:t>有相关维保维修业绩，提供同类维保维修项目的发票复印件，每提供一张得</w:t>
            </w:r>
            <w:r>
              <w:rPr>
                <w:rFonts w:cs="Times New Roman"/>
                <w:bCs/>
              </w:rPr>
              <w:t>2</w:t>
            </w:r>
            <w:r>
              <w:rPr>
                <w:rFonts w:hint="eastAsia" w:cs="Times New Roman"/>
                <w:bCs/>
              </w:rPr>
              <w:t>分，最多得</w:t>
            </w:r>
            <w:r>
              <w:rPr>
                <w:rFonts w:cs="Times New Roman"/>
                <w:bCs/>
              </w:rPr>
              <w:t>6</w:t>
            </w:r>
            <w:r>
              <w:rPr>
                <w:rFonts w:hint="eastAsia" w:cs="Times New Roman"/>
                <w:bCs/>
              </w:rPr>
              <w:t>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零配件储备情况</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应答人国内设有零备件库，提供仓库地址，</w:t>
            </w:r>
            <w:r>
              <w:rPr>
                <w:rFonts w:hint="eastAsia"/>
                <w:b/>
                <w:color w:val="000000"/>
                <w:szCs w:val="21"/>
              </w:rPr>
              <w:t>并提供相关房屋证明材料得4分</w:t>
            </w:r>
            <w:r>
              <w:rPr>
                <w:rFonts w:hint="eastAsia"/>
                <w:color w:val="000000"/>
                <w:szCs w:val="21"/>
              </w:rPr>
              <w:t>，未提供不得分。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6</w:t>
            </w:r>
          </w:p>
        </w:tc>
        <w:tc>
          <w:tcPr>
            <w:tcW w:w="1276" w:type="dxa"/>
            <w:vMerge w:val="restart"/>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服务方案</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根据投标人提供的维修维护实施方案综合评分</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7</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应急预案：供应商须有能力应对突发事件应急预案，包括但不仅限于医院临时要求等突发事件，根据应答情况评审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8</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质量管控：供应商须有有一系列保证服务质量的制度、实施方案和考核办法，根据应答情况评审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9</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b/>
                <w:color w:val="000000"/>
                <w:szCs w:val="21"/>
              </w:rPr>
            </w:pPr>
            <w:r>
              <w:rPr>
                <w:rFonts w:hint="eastAsia"/>
                <w:b/>
                <w:color w:val="000000"/>
                <w:szCs w:val="21"/>
              </w:rPr>
              <w:t>增值服务：考虑到医院未来发展，投标人可提供相关的数据深挖、现场保养、人员培训等增值服务。根据应答情况评审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5分；</w:t>
            </w:r>
            <w:r>
              <w:rPr>
                <w:rFonts w:hint="eastAsia"/>
                <w:color w:val="000000"/>
                <w:szCs w:val="21"/>
              </w:rPr>
              <w:t>方案实施细节、服务内容、服务承诺等较全面、较完善，具有一定的科学、完整性，但可行性相对较差得</w:t>
            </w:r>
            <w:r>
              <w:rPr>
                <w:color w:val="000000"/>
                <w:szCs w:val="21"/>
              </w:rPr>
              <w:t>3分；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r>
    </w:tbl>
    <w:p>
      <w:pPr>
        <w:widowControl w:val="0"/>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p>
      <w:pPr>
        <w:rPr>
          <w:b/>
          <w:color w:val="000000"/>
        </w:r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360" w:lineRule="auto"/>
        <w:rPr>
          <w:b/>
          <w:bCs/>
        </w:rPr>
      </w:pPr>
      <w:bookmarkStart w:id="0" w:name="_Hlk125994741"/>
      <w:r>
        <w:rPr>
          <w:rFonts w:hint="eastAsia"/>
          <w:b/>
          <w:bCs/>
        </w:rPr>
        <w:t>一、技术参数及基本要求：</w:t>
      </w:r>
    </w:p>
    <w:p>
      <w:pPr>
        <w:spacing w:line="360" w:lineRule="auto"/>
        <w:ind w:firstLine="420"/>
      </w:pPr>
      <w:r>
        <w:rPr>
          <w:rFonts w:hint="eastAsia"/>
        </w:rPr>
        <w:t>1、维修保养范围：</w:t>
      </w:r>
    </w:p>
    <w:p>
      <w:pPr>
        <w:spacing w:line="360" w:lineRule="auto"/>
        <w:ind w:firstLine="420"/>
        <w:rPr>
          <w:bCs/>
          <w:color w:val="000000"/>
          <w:lang w:bidi="ar"/>
        </w:rPr>
      </w:pPr>
      <w:r>
        <w:rPr>
          <w:rFonts w:hint="eastAsia"/>
          <w:color w:val="000000"/>
        </w:rPr>
        <w:t>本项目为医院消毒供应室减压沸腾清洗机（品牌：三浦工业）购买年度维修保养服务</w:t>
      </w:r>
      <w:r>
        <w:rPr>
          <w:rFonts w:hint="eastAsia"/>
          <w:color w:val="000000"/>
          <w:lang w:bidi="ar"/>
        </w:rPr>
        <w:t>项目</w:t>
      </w:r>
      <w:r>
        <w:rPr>
          <w:rFonts w:hint="eastAsia"/>
          <w:bCs/>
          <w:color w:val="000000"/>
          <w:lang w:bidi="ar"/>
        </w:rPr>
        <w:t>。</w:t>
      </w:r>
    </w:p>
    <w:p>
      <w:pPr>
        <w:spacing w:line="360" w:lineRule="auto"/>
        <w:ind w:firstLine="420"/>
      </w:pPr>
      <w:r>
        <w:rPr>
          <w:rFonts w:hint="eastAsia"/>
          <w:bCs/>
          <w:color w:val="000000"/>
          <w:lang w:bidi="ar"/>
        </w:rPr>
        <w:t>保修范围</w:t>
      </w:r>
      <w:r>
        <w:rPr>
          <w:rFonts w:hint="eastAsia"/>
        </w:rPr>
        <w:t>：软件、硬件方面的相关要求；</w:t>
      </w:r>
    </w:p>
    <w:p>
      <w:pPr>
        <w:spacing w:line="360" w:lineRule="auto"/>
        <w:ind w:firstLine="420"/>
      </w:pPr>
      <w:r>
        <w:rPr>
          <w:rFonts w:hint="eastAsia"/>
        </w:rPr>
        <w:t>保养内容：</w:t>
      </w:r>
      <w:r>
        <w:rPr>
          <w:rFonts w:hint="eastAsia"/>
          <w:color w:val="000000"/>
        </w:rPr>
        <w:t>制定日常保养计划，定期保养每年执行</w:t>
      </w:r>
      <w:r>
        <w:rPr>
          <w:color w:val="000000"/>
        </w:rPr>
        <w:t>4</w:t>
      </w:r>
      <w:r>
        <w:rPr>
          <w:rFonts w:hint="eastAsia"/>
          <w:color w:val="000000"/>
        </w:rPr>
        <w:t>次。</w:t>
      </w:r>
    </w:p>
    <w:bookmarkEnd w:id="0"/>
    <w:p>
      <w:pPr>
        <w:spacing w:line="470" w:lineRule="exact"/>
        <w:ind w:firstLine="480" w:firstLineChars="200"/>
      </w:pPr>
      <w:bookmarkStart w:id="1" w:name="_Hlk125994773"/>
      <w:r>
        <w:t>1</w:t>
      </w:r>
      <w:r>
        <w:rPr>
          <w:rFonts w:hint="eastAsia"/>
        </w:rPr>
        <w:t>、供应商在接到用户报修电话后</w:t>
      </w:r>
      <w:r>
        <w:t>30</w:t>
      </w:r>
      <w:r>
        <w:rPr>
          <w:rFonts w:hint="eastAsia"/>
        </w:rPr>
        <w:t>分钟之内响应，</w:t>
      </w:r>
      <w:r>
        <w:t>2</w:t>
      </w:r>
      <w:r>
        <w:rPr>
          <w:rFonts w:hint="eastAsia"/>
        </w:rPr>
        <w:t>小时内到达设备现场（若本地无维修站点，</w:t>
      </w:r>
      <w:r>
        <w:t>24</w:t>
      </w:r>
      <w:r>
        <w:rPr>
          <w:rFonts w:hint="eastAsia"/>
        </w:rPr>
        <w:t>小时内到达现场），如需提供维修备件，</w:t>
      </w:r>
      <w:r>
        <w:t>48</w:t>
      </w:r>
      <w:r>
        <w:rPr>
          <w:rFonts w:hint="eastAsia"/>
        </w:rPr>
        <w:t>小时内提供到位（国内有货）。如若供应商在</w:t>
      </w:r>
      <w:r>
        <w:t>72</w:t>
      </w:r>
      <w:r>
        <w:rPr>
          <w:rFonts w:hint="eastAsia"/>
        </w:rPr>
        <w:t>小时内无法修复故障，供应商应提供备用机，采购人有权找第三方进行维修，相关费用由供应商承担。如有特殊情况，供应商应立即电话通知用户不能响应的原因，在获得用户同意后，才可推迟响应时间。</w:t>
      </w:r>
    </w:p>
    <w:p>
      <w:pPr>
        <w:spacing w:line="360" w:lineRule="auto"/>
        <w:ind w:firstLine="420"/>
      </w:pPr>
      <w:r>
        <w:t>2</w:t>
      </w:r>
      <w:r>
        <w:rPr>
          <w:rFonts w:hint="eastAsia"/>
        </w:rPr>
        <w:t>、供应商更换维保设备备件耗材（配件耗材费另计），承担维保期间维修人员的往返差旅费、人工费、维修所需备件的搬运费、安装调试费以及系统软件升级等一切费用。</w:t>
      </w:r>
    </w:p>
    <w:bookmarkEnd w:id="1"/>
    <w:p>
      <w:pPr>
        <w:spacing w:line="360" w:lineRule="auto"/>
        <w:ind w:firstLine="420"/>
      </w:pPr>
      <w:bookmarkStart w:id="2" w:name="_Hlk125994826"/>
      <w:r>
        <w:t>3</w:t>
      </w:r>
      <w:r>
        <w:rPr>
          <w:rFonts w:hint="eastAsia"/>
        </w:rPr>
        <w:t>、在国内设有零备件库，提供</w:t>
      </w:r>
      <w:r>
        <w:t>仓库地址</w:t>
      </w:r>
      <w:r>
        <w:rPr>
          <w:rFonts w:hint="eastAsia"/>
        </w:rPr>
        <w:t>，</w:t>
      </w:r>
      <w:r>
        <w:t>并提供</w:t>
      </w:r>
      <w:r>
        <w:rPr>
          <w:rFonts w:hint="eastAsia"/>
        </w:rPr>
        <w:t>相关房屋</w:t>
      </w:r>
      <w:r>
        <w:t>证明材料</w:t>
      </w:r>
      <w:r>
        <w:rPr>
          <w:rFonts w:hint="eastAsia"/>
        </w:rPr>
        <w:t>。</w:t>
      </w:r>
    </w:p>
    <w:p>
      <w:pPr>
        <w:spacing w:line="360" w:lineRule="auto"/>
        <w:ind w:firstLine="240" w:firstLineChars="100"/>
      </w:pPr>
      <w:r>
        <w:rPr>
          <w:rFonts w:hint="eastAsia"/>
          <w:color w:val="000000"/>
        </w:rPr>
        <w:t>▲</w:t>
      </w:r>
      <w:r>
        <w:t>4</w:t>
      </w:r>
      <w:r>
        <w:rPr>
          <w:rFonts w:hint="eastAsia"/>
        </w:rPr>
        <w:t>、维修配件的更换：要求为原厂配件，如需更换配件，需采购人单位设备科签字确认。投标人所提供的备件必须是原厂的合格零备件。</w:t>
      </w:r>
    </w:p>
    <w:p>
      <w:pPr>
        <w:spacing w:line="360" w:lineRule="auto"/>
        <w:ind w:firstLine="420"/>
      </w:pPr>
      <w:r>
        <w:t>5</w:t>
      </w:r>
      <w:r>
        <w:rPr>
          <w:rFonts w:hint="eastAsia"/>
        </w:rPr>
        <w:t>、免费提供设备的系统软件及硬件的安全性改版升级和技术支持。</w:t>
      </w:r>
    </w:p>
    <w:p>
      <w:pPr>
        <w:spacing w:line="360" w:lineRule="auto"/>
        <w:ind w:firstLine="420"/>
      </w:pPr>
      <w:r>
        <w:t>6</w:t>
      </w:r>
      <w:r>
        <w:rPr>
          <w:rFonts w:hint="eastAsia"/>
        </w:rPr>
        <w:t>、需配备不少于</w:t>
      </w:r>
      <w:r>
        <w:t>2</w:t>
      </w:r>
      <w:r>
        <w:rPr>
          <w:rFonts w:hint="eastAsia"/>
        </w:rPr>
        <w:t>名的专职设备服务工程师，并提供培训证明。</w:t>
      </w:r>
    </w:p>
    <w:p>
      <w:pPr>
        <w:spacing w:line="360" w:lineRule="auto"/>
        <w:ind w:firstLine="420"/>
        <w:rPr>
          <w:rFonts w:cs="Arial"/>
        </w:rPr>
      </w:pPr>
      <w:r>
        <w:rPr>
          <w:rFonts w:cs="Arial"/>
        </w:rPr>
        <w:t>7</w:t>
      </w:r>
      <w:r>
        <w:rPr>
          <w:rFonts w:hint="eastAsia" w:cs="Arial"/>
        </w:rPr>
        <w:t>、确保设备开机率达到95%以上（按照365天/年计），即正常开机达到347天/年，停机不超过18天/年。每少一天，维保期限延长两周。</w:t>
      </w:r>
    </w:p>
    <w:p>
      <w:pPr>
        <w:spacing w:line="360" w:lineRule="auto"/>
        <w:ind w:firstLine="420"/>
        <w:rPr>
          <w:rFonts w:cs="Arial"/>
        </w:rPr>
      </w:pPr>
      <w:r>
        <w:rPr>
          <w:rFonts w:cs="Arial"/>
        </w:rPr>
        <w:t>8</w:t>
      </w:r>
      <w:r>
        <w:rPr>
          <w:rFonts w:hint="eastAsia" w:cs="Arial"/>
        </w:rPr>
        <w:t>、系统保养：</w:t>
      </w:r>
    </w:p>
    <w:p>
      <w:pPr>
        <w:spacing w:line="360" w:lineRule="auto"/>
        <w:ind w:firstLine="480" w:firstLineChars="200"/>
        <w:rPr>
          <w:rFonts w:cs="Arial"/>
        </w:rPr>
      </w:pPr>
      <w:r>
        <w:rPr>
          <w:rFonts w:hint="eastAsia" w:cs="Arial"/>
        </w:rPr>
        <w:t>1）对保修设备及相关配套设备作出定期维护保养计划，定期进行保养、维护，并提供记录，每年不少于</w:t>
      </w:r>
      <w:r>
        <w:rPr>
          <w:rFonts w:cs="Arial"/>
        </w:rPr>
        <w:t>4</w:t>
      </w:r>
      <w:r>
        <w:rPr>
          <w:rFonts w:hint="eastAsia" w:cs="Arial"/>
        </w:rPr>
        <w:t>次。每次保养提前与我院医疗设备科预约，并提供书面维护保养单。</w:t>
      </w:r>
    </w:p>
    <w:p>
      <w:pPr>
        <w:spacing w:line="360" w:lineRule="auto"/>
        <w:ind w:firstLine="480" w:firstLineChars="200"/>
        <w:rPr>
          <w:rFonts w:cs="Arial"/>
        </w:rPr>
      </w:pPr>
      <w:r>
        <w:rPr>
          <w:rFonts w:hint="eastAsia" w:cs="Arial"/>
        </w:rPr>
        <w:t>2）可对我院工程技术人员进行培训，以便及时处理简单故障保证设备正常使用。</w:t>
      </w:r>
    </w:p>
    <w:p>
      <w:pPr>
        <w:spacing w:line="360" w:lineRule="auto"/>
        <w:ind w:firstLine="480" w:firstLineChars="200"/>
        <w:rPr>
          <w:rFonts w:cs="Arial"/>
        </w:rPr>
      </w:pPr>
      <w:r>
        <w:rPr>
          <w:rFonts w:hint="eastAsia" w:cs="Arial"/>
        </w:rPr>
        <w:t>3）保修期内提供不限次数现场维修。</w:t>
      </w:r>
      <w:bookmarkEnd w:id="2"/>
    </w:p>
    <w:p>
      <w:pPr>
        <w:spacing w:line="360" w:lineRule="auto"/>
        <w:ind w:firstLine="480" w:firstLineChars="200"/>
        <w:rPr>
          <w:rFonts w:cs="Arial"/>
        </w:rPr>
      </w:pPr>
      <w:r>
        <w:rPr>
          <w:rFonts w:cs="Arial"/>
        </w:rPr>
        <w:t>9</w:t>
      </w:r>
      <w:r>
        <w:rPr>
          <w:rFonts w:hint="eastAsia" w:cs="Arial"/>
        </w:rPr>
        <w:t>、供应商需指定</w:t>
      </w:r>
      <w:r>
        <w:rPr>
          <w:rFonts w:cs="Arial"/>
        </w:rPr>
        <w:t>1-2</w:t>
      </w:r>
      <w:r>
        <w:rPr>
          <w:rFonts w:hint="eastAsia" w:cs="Arial"/>
        </w:rPr>
        <w:t>名项目负责人及实施人名单及联系方式，</w:t>
      </w:r>
      <w:r>
        <w:rPr>
          <w:rFonts w:cs="Arial"/>
        </w:rPr>
        <w:t>全权负责本合同项目的采购、实施等所有事宜。</w:t>
      </w:r>
    </w:p>
    <w:p>
      <w:pPr>
        <w:spacing w:line="360" w:lineRule="auto"/>
        <w:ind w:firstLine="480" w:firstLineChars="200"/>
        <w:rPr>
          <w:rFonts w:cs="Arial"/>
        </w:rPr>
      </w:pPr>
      <w:r>
        <w:rPr>
          <w:rFonts w:cs="Arial"/>
        </w:rPr>
        <w:t>10</w:t>
      </w:r>
      <w:r>
        <w:rPr>
          <w:rFonts w:hint="eastAsia" w:cs="Arial"/>
        </w:rPr>
        <w:t>、供应商随时响应院方相关设备使用及维修保养相关培训要求。</w:t>
      </w:r>
    </w:p>
    <w:p>
      <w:pPr>
        <w:spacing w:line="360" w:lineRule="auto"/>
        <w:ind w:firstLine="480" w:firstLineChars="200"/>
        <w:rPr>
          <w:rFonts w:cs="Arial"/>
        </w:rPr>
      </w:pPr>
      <w:r>
        <w:rPr>
          <w:rFonts w:cs="Arial"/>
        </w:rPr>
        <w:t>11</w:t>
      </w:r>
      <w:r>
        <w:rPr>
          <w:rFonts w:hint="eastAsia" w:cs="Arial"/>
        </w:rPr>
        <w:t>、投标文件提供配件明细报价表。</w:t>
      </w:r>
    </w:p>
    <w:p>
      <w:pPr>
        <w:spacing w:line="400" w:lineRule="exact"/>
        <w:ind w:firstLine="420"/>
        <w:rPr>
          <w:rFonts w:cs="Arial"/>
          <w:b/>
        </w:rPr>
      </w:pPr>
      <w:r>
        <w:rPr>
          <w:rFonts w:hint="eastAsia" w:cs="Arial"/>
          <w:b/>
        </w:rPr>
        <w:t>二、商务要求</w:t>
      </w:r>
    </w:p>
    <w:p>
      <w:pPr>
        <w:spacing w:line="360" w:lineRule="auto"/>
        <w:ind w:firstLine="600" w:firstLineChars="250"/>
        <w:rPr>
          <w:rFonts w:cs="Times New Roman"/>
          <w:bCs/>
        </w:rPr>
      </w:pPr>
      <w:r>
        <w:rPr>
          <w:rFonts w:hint="eastAsia" w:cs="Times New Roman"/>
          <w:bCs/>
        </w:rPr>
        <w:t>1、提供使用原厂配件承诺函（格式自拟），且采购人有权在合同执行过程中随机抽检相关配件采购单等方式检验是否为原厂配件。</w:t>
      </w:r>
    </w:p>
    <w:p>
      <w:pPr>
        <w:spacing w:line="360" w:lineRule="auto"/>
        <w:ind w:firstLine="600" w:firstLineChars="250"/>
        <w:rPr>
          <w:color w:val="000000"/>
          <w:szCs w:val="21"/>
        </w:rPr>
      </w:pPr>
      <w:r>
        <w:rPr>
          <w:color w:val="000000"/>
          <w:szCs w:val="21"/>
        </w:rPr>
        <w:t>2</w:t>
      </w:r>
      <w:r>
        <w:rPr>
          <w:rFonts w:hint="eastAsia"/>
          <w:color w:val="000000"/>
          <w:szCs w:val="21"/>
        </w:rPr>
        <w:t>、</w:t>
      </w:r>
      <w:r>
        <w:rPr>
          <w:rFonts w:hint="eastAsia" w:cs="Arial"/>
        </w:rPr>
        <w:t>付款方式</w:t>
      </w:r>
    </w:p>
    <w:p>
      <w:pPr>
        <w:spacing w:line="400" w:lineRule="exact"/>
        <w:ind w:firstLine="720" w:firstLineChars="300"/>
        <w:rPr>
          <w:rFonts w:cs="Arial"/>
        </w:rPr>
      </w:pPr>
      <w:r>
        <w:rPr>
          <w:rFonts w:hint="eastAsia" w:cs="Arial"/>
        </w:rPr>
        <w:t>合同签署后，供应商服务满半年，经采购人考核合格后支付合同总额的50%；供应商服务期满一年，经采购人考核合格后支付至合同总额的100%；供应商须无条件接受采购人及相关部门的审计、监督和延伸审计。供应商应付的违约金、赔偿金等，采购人有权在应付维保款中直接扣除，且每次付款之前供应商应向采购人提供相应价格且符合采购人要求的发票，否则采购人有权拒绝付款。</w:t>
      </w:r>
    </w:p>
    <w:p>
      <w:pPr>
        <w:spacing w:line="400" w:lineRule="exact"/>
        <w:ind w:firstLine="480" w:firstLineChars="200"/>
        <w:rPr>
          <w:rFonts w:cs="Arial"/>
        </w:rPr>
      </w:pPr>
      <w:r>
        <w:t>3</w:t>
      </w:r>
      <w:r>
        <w:rPr>
          <w:rFonts w:hint="eastAsia"/>
        </w:rPr>
        <w:t>、服务期限：1年；服务期满，根据对供应商的考核情况采购人有权决定重新招标或续签，续签次数不得超过2次。</w:t>
      </w:r>
    </w:p>
    <w:p>
      <w:pPr>
        <w:spacing w:line="360" w:lineRule="auto"/>
        <w:rPr>
          <w:rFonts w:cs="Arial"/>
        </w:rPr>
      </w:pPr>
    </w:p>
    <w:p>
      <w:pPr>
        <w:spacing w:before="240" w:beforeLines="100" w:line="360" w:lineRule="auto"/>
        <w:ind w:firstLine="420"/>
        <w:rPr>
          <w:rFonts w:asciiTheme="minorEastAsia" w:hAnsiTheme="minorEastAsia" w:cstheme="minorEastAsia"/>
          <w:b/>
          <w:lang w:eastAsia="zh-Hans"/>
        </w:rPr>
      </w:pPr>
      <w:r>
        <w:rPr>
          <w:rFonts w:hint="eastAsia" w:ascii="Arial" w:hAnsi="Arial" w:cs="Arial"/>
          <w:b/>
        </w:rPr>
        <w:t>注：星标内容和商务要求不允许负偏离。</w:t>
      </w:r>
    </w:p>
    <w:p>
      <w:pPr>
        <w:spacing w:line="360" w:lineRule="auto"/>
        <w:ind w:firstLine="426"/>
        <w:rPr>
          <w:rFonts w:asciiTheme="minorEastAsia" w:hAnsiTheme="minorEastAsia" w:cstheme="minorEastAsia"/>
          <w:b/>
          <w:lang w:eastAsia="zh-Hans"/>
        </w:rPr>
        <w:sectPr>
          <w:pgSz w:w="12240" w:h="15840"/>
          <w:pgMar w:top="851" w:right="1327" w:bottom="851" w:left="1559" w:header="720" w:footer="720" w:gutter="0"/>
          <w:cols w:space="720" w:num="1"/>
          <w:docGrid w:linePitch="326" w:charSpace="0"/>
        </w:sect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3"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4" w:name="_Toc489655320"/>
      <w:r>
        <w:rPr>
          <w:rFonts w:hint="eastAsia"/>
          <w:b/>
          <w:bCs/>
          <w:sz w:val="32"/>
          <w:szCs w:val="32"/>
        </w:rPr>
        <w:t>应答文件主要目录</w:t>
      </w:r>
      <w:bookmarkEnd w:id="3"/>
      <w:bookmarkEnd w:id="4"/>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adjustRightInd w:val="0"/>
        <w:spacing w:line="240" w:lineRule="atLeast"/>
        <w:rPr>
          <w:b/>
          <w:color w:val="000000"/>
          <w:szCs w:val="21"/>
          <w:lang w:val="zh-CN"/>
        </w:rPr>
      </w:pPr>
      <w:r>
        <w:rPr>
          <w:rFonts w:hint="eastAsia"/>
          <w:b/>
          <w:color w:val="000000"/>
          <w:szCs w:val="21"/>
          <w:lang w:val="zh-CN"/>
        </w:rPr>
        <w:t>目录五、分项报价表格式</w:t>
      </w:r>
    </w:p>
    <w:p>
      <w:pPr>
        <w:adjustRightInd w:val="0"/>
        <w:spacing w:line="360" w:lineRule="auto"/>
        <w:rPr>
          <w:color w:val="000000"/>
          <w:szCs w:val="21"/>
          <w:lang w:val="zh-CN"/>
        </w:rPr>
      </w:pPr>
      <w:r>
        <w:rPr>
          <w:rFonts w:hint="eastAsia"/>
          <w:b/>
          <w:color w:val="000000"/>
          <w:szCs w:val="21"/>
          <w:lang w:val="zh-CN"/>
        </w:rPr>
        <w:t xml:space="preserve">                           参照项目清单格式进行报价/自拟</w:t>
      </w:r>
    </w:p>
    <w:p>
      <w:pPr>
        <w:adjustRightInd w:val="0"/>
        <w:spacing w:line="240" w:lineRule="atLeast"/>
        <w:rPr>
          <w:color w:val="000000"/>
          <w:szCs w:val="21"/>
          <w:lang w:val="zh-CN"/>
        </w:rPr>
      </w:pPr>
    </w:p>
    <w:p>
      <w:pPr>
        <w:adjustRightInd w:val="0"/>
        <w:spacing w:line="360" w:lineRule="auto"/>
        <w:rPr>
          <w:color w:val="000000"/>
          <w:szCs w:val="21"/>
          <w:lang w:val="zh-CN"/>
        </w:rPr>
      </w:pPr>
    </w:p>
    <w:p>
      <w:pPr>
        <w:adjustRightInd w:val="0"/>
        <w:spacing w:line="240" w:lineRule="atLeast"/>
        <w:rPr>
          <w:rFonts w:cs="Verdana"/>
          <w:szCs w:val="21"/>
          <w:lang w:val="zh-CN"/>
        </w:rPr>
      </w:pPr>
    </w:p>
    <w:p>
      <w:pPr>
        <w:adjustRightInd w:val="0"/>
        <w:spacing w:line="240" w:lineRule="atLeast"/>
        <w:rPr>
          <w:rFonts w:cs="Verdana"/>
          <w:szCs w:val="21"/>
          <w:lang w:val="zh-CN"/>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79B5"/>
    <w:rsid w:val="00011D85"/>
    <w:rsid w:val="00020AED"/>
    <w:rsid w:val="00023164"/>
    <w:rsid w:val="000270F3"/>
    <w:rsid w:val="00042F47"/>
    <w:rsid w:val="00046CD9"/>
    <w:rsid w:val="00054A87"/>
    <w:rsid w:val="00056588"/>
    <w:rsid w:val="00077702"/>
    <w:rsid w:val="000909CC"/>
    <w:rsid w:val="000941DE"/>
    <w:rsid w:val="000956F6"/>
    <w:rsid w:val="000A6812"/>
    <w:rsid w:val="000B1CA3"/>
    <w:rsid w:val="000B50D3"/>
    <w:rsid w:val="000B5E0B"/>
    <w:rsid w:val="000C6631"/>
    <w:rsid w:val="000D6294"/>
    <w:rsid w:val="000D7D58"/>
    <w:rsid w:val="000E145C"/>
    <w:rsid w:val="000E50F4"/>
    <w:rsid w:val="000E6A97"/>
    <w:rsid w:val="000F73E3"/>
    <w:rsid w:val="000F7F63"/>
    <w:rsid w:val="0010023C"/>
    <w:rsid w:val="00105A22"/>
    <w:rsid w:val="00122CF6"/>
    <w:rsid w:val="001258B2"/>
    <w:rsid w:val="001343FE"/>
    <w:rsid w:val="001378C2"/>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0CCE"/>
    <w:rsid w:val="001B6711"/>
    <w:rsid w:val="001C0769"/>
    <w:rsid w:val="001C76AB"/>
    <w:rsid w:val="001D27BC"/>
    <w:rsid w:val="001D2B95"/>
    <w:rsid w:val="001D3D92"/>
    <w:rsid w:val="001D4262"/>
    <w:rsid w:val="001F7C86"/>
    <w:rsid w:val="00212FA8"/>
    <w:rsid w:val="00220EEE"/>
    <w:rsid w:val="0022212E"/>
    <w:rsid w:val="00222B63"/>
    <w:rsid w:val="00226CF1"/>
    <w:rsid w:val="0024658A"/>
    <w:rsid w:val="00265A7F"/>
    <w:rsid w:val="0028440E"/>
    <w:rsid w:val="00285174"/>
    <w:rsid w:val="00285224"/>
    <w:rsid w:val="00293EBC"/>
    <w:rsid w:val="002A0491"/>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34747"/>
    <w:rsid w:val="00347AC7"/>
    <w:rsid w:val="003507AB"/>
    <w:rsid w:val="00351AA2"/>
    <w:rsid w:val="00372364"/>
    <w:rsid w:val="00376DBD"/>
    <w:rsid w:val="003775FC"/>
    <w:rsid w:val="003830D6"/>
    <w:rsid w:val="0038325C"/>
    <w:rsid w:val="00387325"/>
    <w:rsid w:val="00390CCC"/>
    <w:rsid w:val="003975FA"/>
    <w:rsid w:val="003A4257"/>
    <w:rsid w:val="003B6689"/>
    <w:rsid w:val="003B694D"/>
    <w:rsid w:val="003C139F"/>
    <w:rsid w:val="003D1215"/>
    <w:rsid w:val="003E6B93"/>
    <w:rsid w:val="003F4C2D"/>
    <w:rsid w:val="003F5FCE"/>
    <w:rsid w:val="00407BC8"/>
    <w:rsid w:val="004125E2"/>
    <w:rsid w:val="00424554"/>
    <w:rsid w:val="00436556"/>
    <w:rsid w:val="00437306"/>
    <w:rsid w:val="00444118"/>
    <w:rsid w:val="004457FF"/>
    <w:rsid w:val="00451540"/>
    <w:rsid w:val="00463D66"/>
    <w:rsid w:val="00465C0C"/>
    <w:rsid w:val="004B647D"/>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7456B"/>
    <w:rsid w:val="005912F7"/>
    <w:rsid w:val="0059251F"/>
    <w:rsid w:val="00593348"/>
    <w:rsid w:val="00597A4E"/>
    <w:rsid w:val="005A52F4"/>
    <w:rsid w:val="005B1D58"/>
    <w:rsid w:val="005B50CC"/>
    <w:rsid w:val="005C02B0"/>
    <w:rsid w:val="005D48FD"/>
    <w:rsid w:val="005E07DD"/>
    <w:rsid w:val="005E60EE"/>
    <w:rsid w:val="005F6783"/>
    <w:rsid w:val="00600AB1"/>
    <w:rsid w:val="006056B8"/>
    <w:rsid w:val="006067D6"/>
    <w:rsid w:val="006110B5"/>
    <w:rsid w:val="006156DB"/>
    <w:rsid w:val="0061774B"/>
    <w:rsid w:val="00622149"/>
    <w:rsid w:val="00660304"/>
    <w:rsid w:val="00664103"/>
    <w:rsid w:val="006644B3"/>
    <w:rsid w:val="0066588B"/>
    <w:rsid w:val="00671678"/>
    <w:rsid w:val="00676B8B"/>
    <w:rsid w:val="00685D02"/>
    <w:rsid w:val="0069037B"/>
    <w:rsid w:val="006A3FB1"/>
    <w:rsid w:val="006A6F06"/>
    <w:rsid w:val="006B031D"/>
    <w:rsid w:val="006B0537"/>
    <w:rsid w:val="006C41B5"/>
    <w:rsid w:val="006C4B44"/>
    <w:rsid w:val="006C5A0A"/>
    <w:rsid w:val="006C635F"/>
    <w:rsid w:val="006D65AC"/>
    <w:rsid w:val="006F707D"/>
    <w:rsid w:val="00701EE8"/>
    <w:rsid w:val="0070364E"/>
    <w:rsid w:val="007051BF"/>
    <w:rsid w:val="00706DE7"/>
    <w:rsid w:val="00710708"/>
    <w:rsid w:val="007109D1"/>
    <w:rsid w:val="00712C05"/>
    <w:rsid w:val="00720A05"/>
    <w:rsid w:val="007449EF"/>
    <w:rsid w:val="0077052E"/>
    <w:rsid w:val="00785552"/>
    <w:rsid w:val="00793091"/>
    <w:rsid w:val="00793720"/>
    <w:rsid w:val="00794A5E"/>
    <w:rsid w:val="00795A1C"/>
    <w:rsid w:val="007A147B"/>
    <w:rsid w:val="007B0DB5"/>
    <w:rsid w:val="007B181A"/>
    <w:rsid w:val="007C16FE"/>
    <w:rsid w:val="007C6F84"/>
    <w:rsid w:val="007D1013"/>
    <w:rsid w:val="007D2F7A"/>
    <w:rsid w:val="007E4E96"/>
    <w:rsid w:val="007F0D7E"/>
    <w:rsid w:val="0082132D"/>
    <w:rsid w:val="00822E8F"/>
    <w:rsid w:val="0082484B"/>
    <w:rsid w:val="008312A5"/>
    <w:rsid w:val="00840134"/>
    <w:rsid w:val="0085442E"/>
    <w:rsid w:val="00854EDD"/>
    <w:rsid w:val="00862CB2"/>
    <w:rsid w:val="00863017"/>
    <w:rsid w:val="00864D9A"/>
    <w:rsid w:val="00871EA5"/>
    <w:rsid w:val="0088255B"/>
    <w:rsid w:val="00894C4F"/>
    <w:rsid w:val="008A4CF7"/>
    <w:rsid w:val="008A7315"/>
    <w:rsid w:val="008B122C"/>
    <w:rsid w:val="008B353E"/>
    <w:rsid w:val="008B5B0D"/>
    <w:rsid w:val="008B717C"/>
    <w:rsid w:val="008C344D"/>
    <w:rsid w:val="008D5B6A"/>
    <w:rsid w:val="008D6CEA"/>
    <w:rsid w:val="008E0B28"/>
    <w:rsid w:val="008E2810"/>
    <w:rsid w:val="008E4677"/>
    <w:rsid w:val="008F1335"/>
    <w:rsid w:val="008F65D8"/>
    <w:rsid w:val="009036E5"/>
    <w:rsid w:val="0091079D"/>
    <w:rsid w:val="00916E2C"/>
    <w:rsid w:val="00927822"/>
    <w:rsid w:val="009448FD"/>
    <w:rsid w:val="00957054"/>
    <w:rsid w:val="009771F3"/>
    <w:rsid w:val="00977723"/>
    <w:rsid w:val="00983FF9"/>
    <w:rsid w:val="009A0AE4"/>
    <w:rsid w:val="009A3A87"/>
    <w:rsid w:val="009B4624"/>
    <w:rsid w:val="009C3A5E"/>
    <w:rsid w:val="009C4D29"/>
    <w:rsid w:val="009C7A99"/>
    <w:rsid w:val="009D2AD3"/>
    <w:rsid w:val="009D40E8"/>
    <w:rsid w:val="009D5DFE"/>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A5DAE"/>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4FEF"/>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2E86"/>
    <w:rsid w:val="00CA6822"/>
    <w:rsid w:val="00CB0305"/>
    <w:rsid w:val="00CB4A02"/>
    <w:rsid w:val="00CC1E89"/>
    <w:rsid w:val="00CC23EF"/>
    <w:rsid w:val="00CD2362"/>
    <w:rsid w:val="00CE5486"/>
    <w:rsid w:val="00CE7C10"/>
    <w:rsid w:val="00CF1A31"/>
    <w:rsid w:val="00CF3216"/>
    <w:rsid w:val="00CF4EA8"/>
    <w:rsid w:val="00D12AD7"/>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44596"/>
    <w:rsid w:val="00F46EB7"/>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1A2F0966"/>
    <w:rsid w:val="28481571"/>
    <w:rsid w:val="3C3122E8"/>
    <w:rsid w:val="477C0BB5"/>
    <w:rsid w:val="47CF0F0F"/>
    <w:rsid w:val="4A3E4575"/>
    <w:rsid w:val="4B566978"/>
    <w:rsid w:val="4CB93F3C"/>
    <w:rsid w:val="51210335"/>
    <w:rsid w:val="595A141E"/>
    <w:rsid w:val="5AE44879"/>
    <w:rsid w:val="5FD417DF"/>
    <w:rsid w:val="6CF070AE"/>
    <w:rsid w:val="729427A2"/>
    <w:rsid w:val="7AB160CE"/>
    <w:rsid w:val="7BC04EAE"/>
    <w:rsid w:val="7DBA024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99"/>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qFormat/>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qFormat/>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locked/>
    <w:uiPriority w:val="0"/>
    <w:rPr>
      <w:rFonts w:ascii="Arial" w:hAnsi="Arial" w:eastAsia="黑体"/>
      <w:kern w:val="2"/>
      <w:sz w:val="21"/>
      <w:lang w:val="en-US" w:eastAsia="zh-CN"/>
    </w:rPr>
  </w:style>
  <w:style w:type="character" w:customStyle="1" w:styleId="182">
    <w:name w:val="content"/>
    <w:uiPriority w:val="0"/>
    <w:rPr>
      <w:rFonts w:cs="Times New Roman"/>
    </w:rPr>
  </w:style>
  <w:style w:type="character" w:customStyle="1" w:styleId="183">
    <w:name w:val="font112"/>
    <w:uiPriority w:val="0"/>
    <w:rPr>
      <w:rFonts w:hint="eastAsia" w:ascii="华文楷体" w:hAnsi="华文楷体" w:eastAsia="华文楷体" w:cs="华文楷体"/>
      <w:color w:val="FF0000"/>
      <w:sz w:val="28"/>
      <w:szCs w:val="28"/>
      <w:u w:val="none"/>
    </w:rPr>
  </w:style>
  <w:style w:type="character" w:customStyle="1" w:styleId="184">
    <w:name w:val="Char Char7"/>
    <w:uiPriority w:val="0"/>
    <w:rPr>
      <w:rFonts w:eastAsia="宋体"/>
      <w:b/>
      <w:kern w:val="2"/>
      <w:sz w:val="24"/>
      <w:lang w:val="en-US" w:eastAsia="zh-CN"/>
    </w:rPr>
  </w:style>
  <w:style w:type="character" w:customStyle="1" w:styleId="185">
    <w:name w:val="标准文本 Char"/>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uiPriority w:val="0"/>
    <w:rPr>
      <w:rFonts w:hint="eastAsia" w:ascii="华文楷体" w:hAnsi="华文楷体" w:eastAsia="华文楷体" w:cs="华文楷体"/>
      <w:color w:val="000000"/>
      <w:sz w:val="28"/>
      <w:szCs w:val="28"/>
      <w:u w:val="none"/>
    </w:rPr>
  </w:style>
  <w:style w:type="character" w:customStyle="1" w:styleId="189">
    <w:name w:val="Char Char29"/>
    <w:uiPriority w:val="0"/>
    <w:rPr>
      <w:rFonts w:ascii="Times New Roman" w:hAnsi="Times New Roman" w:eastAsia="宋体"/>
      <w:b/>
      <w:kern w:val="44"/>
      <w:sz w:val="44"/>
    </w:rPr>
  </w:style>
  <w:style w:type="character" w:customStyle="1" w:styleId="190">
    <w:name w:val="Char Char3"/>
    <w:locked/>
    <w:uiPriority w:val="0"/>
    <w:rPr>
      <w:rFonts w:eastAsia="宋体"/>
      <w:kern w:val="2"/>
      <w:sz w:val="18"/>
      <w:lang w:val="en-US" w:eastAsia="zh-CN"/>
    </w:rPr>
  </w:style>
  <w:style w:type="character" w:customStyle="1" w:styleId="191">
    <w:name w:val="Char Char17"/>
    <w:uiPriority w:val="0"/>
    <w:rPr>
      <w:rFonts w:ascii="宋体" w:hAnsi="Courier New"/>
      <w:kern w:val="2"/>
      <w:sz w:val="21"/>
    </w:rPr>
  </w:style>
  <w:style w:type="character" w:customStyle="1" w:styleId="192">
    <w:name w:val="Char Char30"/>
    <w:uiPriority w:val="0"/>
    <w:rPr>
      <w:rFonts w:eastAsia="宋体"/>
      <w:b/>
      <w:kern w:val="2"/>
      <w:sz w:val="28"/>
      <w:lang w:val="en-US" w:eastAsia="zh-CN"/>
    </w:rPr>
  </w:style>
  <w:style w:type="character" w:customStyle="1" w:styleId="193">
    <w:name w:val="style131"/>
    <w:uiPriority w:val="0"/>
    <w:rPr>
      <w:sz w:val="18"/>
    </w:rPr>
  </w:style>
  <w:style w:type="character" w:customStyle="1" w:styleId="194">
    <w:name w:val="Char Char9"/>
    <w:uiPriority w:val="0"/>
    <w:rPr>
      <w:rFonts w:eastAsia="宋体"/>
      <w:kern w:val="2"/>
      <w:sz w:val="21"/>
      <w:lang w:val="en-US" w:eastAsia="zh-CN"/>
    </w:rPr>
  </w:style>
  <w:style w:type="character" w:customStyle="1" w:styleId="195">
    <w:name w:val="Char Char4"/>
    <w:locked/>
    <w:uiPriority w:val="0"/>
    <w:rPr>
      <w:rFonts w:ascii="方正大黑简体" w:eastAsia="方正大黑简体"/>
      <w:kern w:val="44"/>
      <w:position w:val="6"/>
      <w:sz w:val="30"/>
      <w:lang w:val="en-US" w:eastAsia="zh-CN"/>
    </w:rPr>
  </w:style>
  <w:style w:type="character" w:customStyle="1" w:styleId="196">
    <w:name w:val="Char Char28"/>
    <w:uiPriority w:val="0"/>
    <w:rPr>
      <w:rFonts w:ascii="Arial" w:hAnsi="Arial" w:eastAsia="黑体"/>
      <w:b/>
      <w:sz w:val="32"/>
    </w:rPr>
  </w:style>
  <w:style w:type="character" w:customStyle="1" w:styleId="197">
    <w:name w:val="3zw"/>
    <w:uiPriority w:val="0"/>
    <w:rPr>
      <w:rFonts w:cs="Times New Roman"/>
    </w:rPr>
  </w:style>
  <w:style w:type="character" w:customStyle="1" w:styleId="198">
    <w:name w:val="正文文本缩进 2 字符"/>
    <w:link w:val="29"/>
    <w:locked/>
    <w:uiPriority w:val="99"/>
    <w:rPr>
      <w:rFonts w:cs="Times New Roman"/>
      <w:sz w:val="24"/>
      <w:szCs w:val="24"/>
    </w:rPr>
  </w:style>
  <w:style w:type="character" w:customStyle="1" w:styleId="199">
    <w:name w:val="无间隔 Char"/>
    <w:uiPriority w:val="0"/>
    <w:rPr>
      <w:rFonts w:ascii="Calibri" w:hAnsi="Calibri" w:eastAsia="微软雅黑"/>
      <w:kern w:val="2"/>
      <w:sz w:val="22"/>
      <w:lang w:val="en-US" w:eastAsia="zh-CN"/>
    </w:rPr>
  </w:style>
  <w:style w:type="character" w:customStyle="1" w:styleId="200">
    <w:name w:val="明显引用 Char"/>
    <w:uiPriority w:val="0"/>
    <w:rPr>
      <w:rFonts w:ascii="Calibri" w:hAnsi="Calibri" w:eastAsia="宋体"/>
      <w:b/>
      <w:i/>
      <w:sz w:val="22"/>
      <w:lang w:val="en-US" w:eastAsia="en-US"/>
    </w:rPr>
  </w:style>
  <w:style w:type="character" w:customStyle="1" w:styleId="201">
    <w:name w:val="Char Char25"/>
    <w:uiPriority w:val="0"/>
    <w:rPr>
      <w:rFonts w:ascii="Arial" w:hAnsi="Arial" w:eastAsia="黑体"/>
      <w:b/>
      <w:kern w:val="2"/>
      <w:sz w:val="28"/>
    </w:rPr>
  </w:style>
  <w:style w:type="character" w:customStyle="1" w:styleId="202">
    <w:name w:val="纯文本 Char Char Char"/>
    <w:uiPriority w:val="0"/>
    <w:rPr>
      <w:rFonts w:ascii="宋体" w:hAnsi="Courier New" w:eastAsia="宋体"/>
      <w:kern w:val="2"/>
      <w:sz w:val="21"/>
      <w:lang w:val="en-US" w:eastAsia="zh-CN"/>
    </w:rPr>
  </w:style>
  <w:style w:type="character" w:customStyle="1" w:styleId="203">
    <w:name w:val="小四 段落 宋体 Char Char Char Char Char"/>
    <w:uiPriority w:val="0"/>
    <w:rPr>
      <w:rFonts w:eastAsia="宋体"/>
      <w:kern w:val="2"/>
      <w:sz w:val="24"/>
      <w:lang w:val="en-US" w:eastAsia="zh-CN"/>
    </w:rPr>
  </w:style>
  <w:style w:type="character" w:customStyle="1" w:styleId="204">
    <w:name w:val="Title1 Char"/>
    <w:uiPriority w:val="0"/>
    <w:rPr>
      <w:rFonts w:eastAsia="宋体"/>
      <w:b/>
      <w:kern w:val="44"/>
      <w:sz w:val="44"/>
      <w:lang w:val="en-US" w:eastAsia="zh-CN"/>
    </w:rPr>
  </w:style>
  <w:style w:type="character" w:customStyle="1" w:styleId="205">
    <w:name w:val="Char Char10"/>
    <w:uiPriority w:val="0"/>
    <w:rPr>
      <w:rFonts w:eastAsia="宋体"/>
      <w:b/>
      <w:kern w:val="2"/>
      <w:sz w:val="24"/>
      <w:lang w:val="en-US" w:eastAsia="zh-CN"/>
    </w:rPr>
  </w:style>
  <w:style w:type="character" w:customStyle="1" w:styleId="206">
    <w:name w:val="Char Char5"/>
    <w:uiPriority w:val="0"/>
    <w:rPr>
      <w:rFonts w:eastAsia="宋体"/>
      <w:kern w:val="2"/>
      <w:sz w:val="24"/>
      <w:lang w:val="en-US" w:eastAsia="zh-CN"/>
    </w:rPr>
  </w:style>
  <w:style w:type="character" w:customStyle="1" w:styleId="207">
    <w:name w:val="正文首行缩进 字符"/>
    <w:basedOn w:val="117"/>
    <w:link w:val="53"/>
    <w:locked/>
    <w:uiPriority w:val="99"/>
    <w:rPr>
      <w:rFonts w:ascii="Times New Roman" w:hAnsi="Times New Roman" w:eastAsia="宋体" w:cs="Times New Roman"/>
      <w:sz w:val="24"/>
      <w:szCs w:val="24"/>
    </w:rPr>
  </w:style>
  <w:style w:type="character" w:customStyle="1" w:styleId="208">
    <w:name w:val="Char Char13"/>
    <w:uiPriority w:val="0"/>
    <w:rPr>
      <w:rFonts w:ascii="宋体" w:hAnsi="宋体" w:eastAsia="宋体"/>
      <w:kern w:val="2"/>
      <w:sz w:val="24"/>
      <w:lang w:val="en-US" w:eastAsia="zh-CN"/>
    </w:rPr>
  </w:style>
  <w:style w:type="character" w:customStyle="1" w:styleId="209">
    <w:name w:val="Char Char2"/>
    <w:uiPriority w:val="0"/>
    <w:rPr>
      <w:rFonts w:ascii="宋体" w:hAnsi="Courier New" w:eastAsia="宋体"/>
      <w:kern w:val="2"/>
      <w:sz w:val="21"/>
      <w:lang w:val="en-US" w:eastAsia="zh-CN"/>
    </w:rPr>
  </w:style>
  <w:style w:type="character" w:customStyle="1" w:styleId="210">
    <w:name w:val="Char Char26"/>
    <w:uiPriority w:val="0"/>
    <w:rPr>
      <w:b/>
      <w:kern w:val="2"/>
      <w:sz w:val="32"/>
    </w:rPr>
  </w:style>
  <w:style w:type="paragraph" w:customStyle="1" w:styleId="211">
    <w:name w:val="xl45"/>
    <w:basedOn w:val="1"/>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link w:val="458"/>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 w:type="character" w:customStyle="1" w:styleId="458">
    <w:name w:val="列出段落 字符"/>
    <w:link w:val="232"/>
    <w:qFormat/>
    <w:uiPriority w:val="34"/>
    <w:rPr>
      <w:rFonts w:ascii="Calibri" w:hAnsi="Calibri" w:cs="Times New Roman"/>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197A3-43AA-4518-8A19-DCCCF4272410}">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4705</Words>
  <Characters>4864</Characters>
  <Lines>46</Lines>
  <Paragraphs>13</Paragraphs>
  <TotalTime>0</TotalTime>
  <ScaleCrop>false</ScaleCrop>
  <LinksUpToDate>false</LinksUpToDate>
  <CharactersWithSpaces>6153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2024-06-12T05:08:00Z</dcterms:created>
  <dc:creator>zhu eric</dc:creator>
  <cp:lastModifiedBy>说谎家咕咕咕</cp:lastModifiedBy>
  <dcterms:modified xsi:type="dcterms:W3CDTF">2024-07-10T06:36:21Z</dcterms:modified>
  <dc:title>海德曼昆腾风冷灭菌器产品技术参数及亮点</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2D1B1102F3894391B0AE2843373FD5A5_12</vt:lpwstr>
  </property>
</Properties>
</file>