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NJKQ-2023CG005</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项目名称：水质自动采留样器</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南京市口腔医院就水质自动采留样器项目进行竞争性比选采购，有关事宜公告如下：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w:t>
      </w:r>
      <w:r>
        <w:rPr>
          <w:color w:val="000000"/>
          <w:szCs w:val="21"/>
        </w:rPr>
        <w:t>2023CG005</w:t>
      </w:r>
    </w:p>
    <w:p>
      <w:pPr>
        <w:rPr>
          <w:color w:val="000000"/>
          <w:szCs w:val="21"/>
        </w:rPr>
      </w:pPr>
      <w:r>
        <w:rPr>
          <w:rFonts w:hint="eastAsia"/>
          <w:color w:val="000000"/>
          <w:szCs w:val="21"/>
        </w:rPr>
        <w:t>2.项目名称：水质自动采留样器</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水质自动采留样器</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1台</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rPr>
          <w:color w:val="000000"/>
          <w:szCs w:val="21"/>
        </w:rPr>
      </w:pP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b/>
          <w:color w:val="333333"/>
          <w:szCs w:val="21"/>
          <w:lang w:bidi="ar"/>
        </w:rPr>
        <w:t>2024-2-26 17</w:t>
      </w:r>
      <w:r>
        <w:rPr>
          <w:rFonts w:hint="eastAsia"/>
          <w:b/>
          <w:color w:val="333333"/>
          <w:szCs w:val="21"/>
          <w:lang w:bidi="ar"/>
        </w:rPr>
        <w:t>：0</w:t>
      </w:r>
      <w:r>
        <w:rPr>
          <w:b/>
          <w:color w:val="333333"/>
          <w:szCs w:val="21"/>
          <w:lang w:bidi="ar"/>
        </w:rPr>
        <w:t>0</w:t>
      </w:r>
    </w:p>
    <w:p>
      <w:pPr>
        <w:rPr>
          <w:rFonts w:hint="eastAsia" w:eastAsia="宋体"/>
          <w:color w:val="000000"/>
          <w:szCs w:val="21"/>
          <w:lang w:val="en-US" w:eastAsia="zh-CN"/>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rFonts w:hint="eastAsia"/>
          <w:color w:val="000000"/>
          <w:szCs w:val="21"/>
          <w:lang w:val="en-US" w:eastAsia="zh-CN"/>
        </w:rPr>
        <w:t>4</w:t>
      </w:r>
      <w:bookmarkStart w:id="2" w:name="_GoBack"/>
      <w:bookmarkEnd w:id="2"/>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b/>
          <w:color w:val="000000"/>
          <w:sz w:val="22"/>
          <w:szCs w:val="22"/>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rFonts w:hint="eastAsia"/>
          <w:color w:val="000000"/>
          <w:szCs w:val="21"/>
        </w:rPr>
      </w:pPr>
      <w:r>
        <w:rPr>
          <w:rFonts w:hint="eastAsia"/>
          <w:color w:val="000000"/>
          <w:szCs w:val="21"/>
        </w:rPr>
        <w:t>提交响应文件开始时间：</w:t>
      </w:r>
      <w:r>
        <w:rPr>
          <w:color w:val="000000"/>
          <w:szCs w:val="21"/>
        </w:rPr>
        <w:t>2024-2-27 9</w:t>
      </w:r>
      <w:r>
        <w:rPr>
          <w:rFonts w:hint="eastAsia"/>
          <w:color w:val="000000"/>
          <w:szCs w:val="21"/>
        </w:rPr>
        <w:t>:</w:t>
      </w:r>
      <w:r>
        <w:rPr>
          <w:color w:val="000000"/>
          <w:szCs w:val="21"/>
        </w:rPr>
        <w:t>30</w:t>
      </w:r>
    </w:p>
    <w:p>
      <w:pPr>
        <w:rPr>
          <w:color w:val="000000"/>
          <w:szCs w:val="21"/>
        </w:rPr>
      </w:pPr>
      <w:r>
        <w:rPr>
          <w:rFonts w:hint="eastAsia"/>
          <w:color w:val="000000"/>
          <w:szCs w:val="21"/>
        </w:rPr>
        <w:t>提交响应文件截止时间：</w:t>
      </w:r>
      <w:r>
        <w:rPr>
          <w:color w:val="000000"/>
          <w:szCs w:val="21"/>
        </w:rPr>
        <w:t>2024-2-27 10</w:t>
      </w:r>
      <w:r>
        <w:rPr>
          <w:rFonts w:hint="eastAsia"/>
          <w:color w:val="000000"/>
          <w:szCs w:val="21"/>
        </w:rPr>
        <w:t>:</w:t>
      </w:r>
      <w:r>
        <w:rPr>
          <w:color w:val="000000"/>
          <w:szCs w:val="21"/>
        </w:rPr>
        <w:t>00</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w:t>
      </w:r>
      <w:r>
        <w:rPr>
          <w:color w:val="000000"/>
          <w:szCs w:val="21"/>
        </w:rPr>
        <w:t>2024-2-27 10</w:t>
      </w:r>
      <w:r>
        <w:rPr>
          <w:rFonts w:hint="eastAsia"/>
          <w:color w:val="000000"/>
          <w:szCs w:val="21"/>
        </w:rPr>
        <w:t>:</w:t>
      </w:r>
      <w:r>
        <w:rPr>
          <w:color w:val="000000"/>
          <w:szCs w:val="21"/>
        </w:rPr>
        <w:t>00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778" w:type="dxa"/>
        <w:tblInd w:w="-38" w:type="dxa"/>
        <w:tblLayout w:type="fixed"/>
        <w:tblCellMar>
          <w:top w:w="0" w:type="dxa"/>
          <w:left w:w="30" w:type="dxa"/>
          <w:bottom w:w="0" w:type="dxa"/>
          <w:right w:w="30" w:type="dxa"/>
        </w:tblCellMar>
      </w:tblPr>
      <w:tblGrid>
        <w:gridCol w:w="878"/>
        <w:gridCol w:w="1484"/>
        <w:gridCol w:w="6379"/>
        <w:gridCol w:w="1037"/>
      </w:tblGrid>
      <w:tr>
        <w:tblPrEx>
          <w:tblCellMar>
            <w:top w:w="0" w:type="dxa"/>
            <w:left w:w="30" w:type="dxa"/>
            <w:bottom w:w="0" w:type="dxa"/>
            <w:right w:w="30" w:type="dxa"/>
          </w:tblCellMar>
        </w:tblPrEx>
        <w:trPr>
          <w:trHeight w:val="5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序号</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评分因素</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评审标准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分值</w:t>
            </w:r>
          </w:p>
        </w:tc>
      </w:tr>
      <w:tr>
        <w:tblPrEx>
          <w:tblCellMar>
            <w:top w:w="0" w:type="dxa"/>
            <w:left w:w="30" w:type="dxa"/>
            <w:bottom w:w="0" w:type="dxa"/>
            <w:right w:w="30" w:type="dxa"/>
          </w:tblCellMar>
        </w:tblPrEx>
        <w:trPr>
          <w:trHeight w:val="682" w:hRule="atLeast"/>
        </w:trPr>
        <w:tc>
          <w:tcPr>
            <w:tcW w:w="878" w:type="dxa"/>
            <w:tcBorders>
              <w:top w:val="single" w:color="auto" w:sz="6" w:space="0"/>
              <w:left w:val="single" w:color="auto" w:sz="6" w:space="0"/>
              <w:right w:val="single" w:color="auto" w:sz="6" w:space="0"/>
            </w:tcBorders>
          </w:tcPr>
          <w:p>
            <w:pPr>
              <w:widowControl w:val="0"/>
              <w:autoSpaceDE w:val="0"/>
              <w:autoSpaceDN w:val="0"/>
              <w:adjustRightInd w:val="0"/>
              <w:jc w:val="center"/>
              <w:rPr>
                <w:color w:val="000000"/>
              </w:rPr>
            </w:pPr>
            <w:r>
              <w:rPr>
                <w:color w:val="000000"/>
              </w:rPr>
              <w:t>1</w:t>
            </w:r>
          </w:p>
        </w:tc>
        <w:tc>
          <w:tcPr>
            <w:tcW w:w="1484" w:type="dxa"/>
            <w:tcBorders>
              <w:top w:val="single" w:color="auto" w:sz="6" w:space="0"/>
              <w:left w:val="single" w:color="auto" w:sz="6" w:space="0"/>
              <w:right w:val="single" w:color="auto" w:sz="6" w:space="0"/>
            </w:tcBorders>
          </w:tcPr>
          <w:p>
            <w:pPr>
              <w:widowControl w:val="0"/>
              <w:autoSpaceDE w:val="0"/>
              <w:autoSpaceDN w:val="0"/>
              <w:adjustRightInd w:val="0"/>
              <w:ind w:firstLine="480" w:firstLineChars="200"/>
              <w:rPr>
                <w:color w:val="000000"/>
              </w:rPr>
            </w:pPr>
            <w:r>
              <w:rPr>
                <w:rFonts w:hint="eastAsia"/>
                <w:color w:val="000000"/>
              </w:rPr>
              <w:t>价格</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采用低价优先法计算，即满足采购文件要求且应答价格最低的应答报价为评标基准价，其价格分为满分。</w:t>
            </w:r>
          </w:p>
          <w:p>
            <w:pPr>
              <w:widowControl w:val="0"/>
              <w:autoSpaceDE w:val="0"/>
              <w:autoSpaceDN w:val="0"/>
              <w:adjustRightInd w:val="0"/>
              <w:rPr>
                <w:color w:val="000000"/>
              </w:rPr>
            </w:pPr>
            <w:r>
              <w:rPr>
                <w:rFonts w:hint="eastAsia"/>
                <w:color w:val="000000"/>
              </w:rPr>
              <w:t>其他应答人的价格分统一按照下列公式计算：应答报价得分</w:t>
            </w:r>
            <w:r>
              <w:rPr>
                <w:color w:val="000000"/>
              </w:rPr>
              <w:t>=(</w:t>
            </w:r>
            <w:r>
              <w:rPr>
                <w:rFonts w:hint="eastAsia"/>
                <w:color w:val="000000"/>
              </w:rPr>
              <w:t>评标基准价</w:t>
            </w:r>
            <w:r>
              <w:rPr>
                <w:color w:val="000000"/>
              </w:rPr>
              <w:t>/</w:t>
            </w:r>
            <w:r>
              <w:rPr>
                <w:rFonts w:hint="eastAsia"/>
                <w:color w:val="000000"/>
              </w:rPr>
              <w:t>应答报价</w:t>
            </w:r>
            <w:r>
              <w:rPr>
                <w:color w:val="000000"/>
              </w:rPr>
              <w:t>)</w:t>
            </w:r>
            <w:r>
              <w:rPr>
                <w:rFonts w:hint="eastAsia"/>
                <w:color w:val="000000"/>
              </w:rPr>
              <w:t>×</w:t>
            </w:r>
            <w:r>
              <w:rPr>
                <w:color w:val="000000"/>
              </w:rPr>
              <w:t>30</w:t>
            </w:r>
            <w:r>
              <w:rPr>
                <w:rFonts w:hint="eastAsia"/>
                <w:color w:val="000000"/>
              </w:rPr>
              <w:t>（小数点保留两位）</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30</w:t>
            </w:r>
          </w:p>
        </w:tc>
      </w:tr>
      <w:tr>
        <w:tblPrEx>
          <w:tblCellMar>
            <w:top w:w="0" w:type="dxa"/>
            <w:left w:w="30" w:type="dxa"/>
            <w:bottom w:w="0" w:type="dxa"/>
            <w:right w:w="30" w:type="dxa"/>
          </w:tblCellMar>
        </w:tblPrEx>
        <w:trPr>
          <w:trHeight w:val="8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2</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技术</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设备技术参数全部满足采购要求的得满分</w:t>
            </w:r>
            <w:r>
              <w:rPr>
                <w:color w:val="000000"/>
              </w:rPr>
              <w:t>30</w:t>
            </w:r>
            <w:r>
              <w:rPr>
                <w:rFonts w:hint="eastAsia"/>
                <w:color w:val="000000"/>
              </w:rPr>
              <w:t>分；打★号指标，如有一项负偏离将扣</w:t>
            </w:r>
            <w:r>
              <w:rPr>
                <w:color w:val="000000"/>
              </w:rPr>
              <w:t>10</w:t>
            </w:r>
            <w:r>
              <w:rPr>
                <w:rFonts w:hint="eastAsia"/>
                <w:color w:val="000000"/>
              </w:rPr>
              <w:t>分；非打★号指标，有一项负偏离扣</w:t>
            </w:r>
            <w:r>
              <w:rPr>
                <w:color w:val="000000"/>
              </w:rPr>
              <w:t>5</w:t>
            </w:r>
            <w:r>
              <w:rPr>
                <w:rFonts w:hint="eastAsia"/>
                <w:color w:val="000000"/>
              </w:rPr>
              <w:t>分，扣完为止。</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30</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3</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业绩</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生产厂商具有类似单位业绩，需提供合同复印件，每提供一份得</w:t>
            </w:r>
            <w:r>
              <w:rPr>
                <w:color w:val="000000"/>
              </w:rPr>
              <w:t>2</w:t>
            </w:r>
            <w:r>
              <w:rPr>
                <w:rFonts w:hint="eastAsia"/>
                <w:color w:val="000000"/>
              </w:rPr>
              <w:t>分，满分</w:t>
            </w:r>
            <w:r>
              <w:rPr>
                <w:color w:val="000000"/>
              </w:rPr>
              <w:t>6</w:t>
            </w:r>
            <w:r>
              <w:rPr>
                <w:rFonts w:hint="eastAsia"/>
                <w:color w:val="000000"/>
              </w:rPr>
              <w:t>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6</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4</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市场认可</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评委根据应答产品原产地、市场占有率、信用度以及对该产品品牌质量和服务的了解评分，优得</w:t>
            </w:r>
            <w:r>
              <w:rPr>
                <w:color w:val="000000"/>
              </w:rPr>
              <w:t>10</w:t>
            </w:r>
            <w:r>
              <w:rPr>
                <w:rFonts w:hint="eastAsia"/>
                <w:color w:val="000000"/>
              </w:rPr>
              <w:t>分，良得</w:t>
            </w:r>
            <w:r>
              <w:rPr>
                <w:color w:val="000000"/>
              </w:rPr>
              <w:t>6</w:t>
            </w:r>
            <w:r>
              <w:rPr>
                <w:rFonts w:hint="eastAsia"/>
                <w:color w:val="000000"/>
              </w:rPr>
              <w:t>分，一般得</w:t>
            </w:r>
            <w:r>
              <w:rPr>
                <w:color w:val="000000"/>
              </w:rPr>
              <w:t>3</w:t>
            </w:r>
            <w:r>
              <w:rPr>
                <w:rFonts w:hint="eastAsia"/>
                <w:color w:val="000000"/>
              </w:rPr>
              <w:t>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10</w:t>
            </w:r>
          </w:p>
        </w:tc>
      </w:tr>
      <w:tr>
        <w:tblPrEx>
          <w:tblCellMar>
            <w:top w:w="0" w:type="dxa"/>
            <w:left w:w="30" w:type="dxa"/>
            <w:bottom w:w="0" w:type="dxa"/>
            <w:right w:w="30" w:type="dxa"/>
          </w:tblCellMar>
        </w:tblPrEx>
        <w:trPr>
          <w:trHeight w:val="8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5.1</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服务</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华东地区设有备件库得</w:t>
            </w:r>
            <w:r>
              <w:rPr>
                <w:color w:val="000000"/>
              </w:rPr>
              <w:t>5</w:t>
            </w:r>
            <w:r>
              <w:rPr>
                <w:rFonts w:hint="eastAsia"/>
                <w:color w:val="000000"/>
              </w:rPr>
              <w:t>分；国内设有备件库得</w:t>
            </w:r>
            <w:r>
              <w:rPr>
                <w:color w:val="000000"/>
              </w:rPr>
              <w:t>2</w:t>
            </w:r>
            <w:r>
              <w:rPr>
                <w:rFonts w:hint="eastAsia"/>
                <w:color w:val="000000"/>
              </w:rPr>
              <w:t>分（二者不得累计）。</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w:t>
            </w:r>
          </w:p>
        </w:tc>
      </w:tr>
      <w:tr>
        <w:tblPrEx>
          <w:tblCellMar>
            <w:top w:w="0" w:type="dxa"/>
            <w:left w:w="30" w:type="dxa"/>
            <w:bottom w:w="0" w:type="dxa"/>
            <w:right w:w="30" w:type="dxa"/>
          </w:tblCellMar>
        </w:tblPrEx>
        <w:trPr>
          <w:trHeight w:val="5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5.2</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维修</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华东地区有维修站得</w:t>
            </w:r>
            <w:r>
              <w:rPr>
                <w:color w:val="000000"/>
              </w:rPr>
              <w:t>5</w:t>
            </w:r>
            <w:r>
              <w:rPr>
                <w:rFonts w:hint="eastAsia"/>
                <w:color w:val="000000"/>
              </w:rPr>
              <w:t>分；国内有维修站得</w:t>
            </w:r>
            <w:r>
              <w:rPr>
                <w:color w:val="000000"/>
              </w:rPr>
              <w:t>2</w:t>
            </w:r>
            <w:r>
              <w:rPr>
                <w:rFonts w:hint="eastAsia"/>
                <w:color w:val="000000"/>
              </w:rPr>
              <w:t>分（二者不得累计）。</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w:t>
            </w:r>
          </w:p>
        </w:tc>
      </w:tr>
      <w:tr>
        <w:tblPrEx>
          <w:tblCellMar>
            <w:top w:w="0" w:type="dxa"/>
            <w:left w:w="30" w:type="dxa"/>
            <w:bottom w:w="0" w:type="dxa"/>
            <w:right w:w="30" w:type="dxa"/>
          </w:tblCellMar>
        </w:tblPrEx>
        <w:trPr>
          <w:trHeight w:val="955"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5.3</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方案</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评委依据服务管理制度、保障措施、维保方式、维保内容、质保期满后的维保费用、时间保证等承诺情况酌情打分。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9</w:t>
            </w:r>
          </w:p>
        </w:tc>
      </w:tr>
      <w:tr>
        <w:tblPrEx>
          <w:tblCellMar>
            <w:top w:w="0" w:type="dxa"/>
            <w:left w:w="30" w:type="dxa"/>
            <w:bottom w:w="0" w:type="dxa"/>
            <w:right w:w="30" w:type="dxa"/>
          </w:tblCellMar>
        </w:tblPrEx>
        <w:trPr>
          <w:trHeight w:val="1051"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6</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对采购文件的响应程度及标书制作情况</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评委根据应答文件对采购文件的响应程度及标书制作情况评分，优得</w:t>
            </w:r>
            <w:r>
              <w:rPr>
                <w:color w:val="000000"/>
              </w:rPr>
              <w:t>5</w:t>
            </w:r>
            <w:r>
              <w:rPr>
                <w:rFonts w:hint="eastAsia"/>
                <w:color w:val="000000"/>
              </w:rPr>
              <w:t>分，良得</w:t>
            </w:r>
            <w:r>
              <w:rPr>
                <w:color w:val="000000"/>
              </w:rPr>
              <w:t>3</w:t>
            </w:r>
            <w:r>
              <w:rPr>
                <w:rFonts w:hint="eastAsia"/>
                <w:color w:val="000000"/>
              </w:rPr>
              <w:t>分，一般得</w:t>
            </w:r>
            <w:r>
              <w:rPr>
                <w:color w:val="000000"/>
              </w:rPr>
              <w:t>1</w:t>
            </w:r>
            <w:r>
              <w:rPr>
                <w:rFonts w:hint="eastAsia"/>
                <w:color w:val="000000"/>
              </w:rPr>
              <w:t>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合计</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100</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360" w:lineRule="auto"/>
        <w:rPr>
          <w:rFonts w:asciiTheme="minorEastAsia" w:hAnsiTheme="minorEastAsia" w:cstheme="minorEastAsia"/>
          <w:b/>
          <w:lang w:eastAsia="zh-Hans"/>
        </w:rPr>
      </w:pPr>
    </w:p>
    <w:p>
      <w:pPr>
        <w:spacing w:line="360" w:lineRule="auto"/>
        <w:rPr>
          <w:rFonts w:ascii="Arial" w:hAnsi="Arial" w:cs="Arial"/>
          <w:b/>
        </w:rPr>
      </w:pPr>
      <w:r>
        <w:rPr>
          <w:rFonts w:hint="eastAsia" w:ascii="Arial" w:hAnsi="Arial" w:cs="Arial"/>
          <w:b/>
        </w:rPr>
        <w:t>一、项目</w:t>
      </w:r>
      <w:r>
        <w:rPr>
          <w:rFonts w:ascii="Arial" w:hAnsi="Arial" w:cs="Arial"/>
          <w:b/>
        </w:rPr>
        <w:t>概况</w:t>
      </w:r>
    </w:p>
    <w:p>
      <w:pPr>
        <w:spacing w:line="360" w:lineRule="auto"/>
        <w:ind w:firstLine="426"/>
        <w:rPr>
          <w:rFonts w:ascii="Arial" w:hAnsi="Arial" w:cs="Arial"/>
        </w:rPr>
      </w:pPr>
      <w:r>
        <w:rPr>
          <w:rFonts w:hint="eastAsia" w:ascii="Arial" w:hAnsi="Arial" w:cs="Arial"/>
        </w:rPr>
        <w:t>本次采购的是南京市口腔医院水质自动采留样器项目。</w:t>
      </w:r>
    </w:p>
    <w:p>
      <w:pPr>
        <w:spacing w:line="360" w:lineRule="auto"/>
        <w:rPr>
          <w:rFonts w:ascii="Arial" w:hAnsi="Arial" w:cs="Arial"/>
          <w:b/>
        </w:rPr>
      </w:pPr>
      <w:r>
        <w:rPr>
          <w:rFonts w:hint="eastAsia" w:ascii="Arial" w:hAnsi="Arial" w:cs="Arial"/>
          <w:b/>
        </w:rPr>
        <w:t>二、采购</w:t>
      </w:r>
      <w:r>
        <w:rPr>
          <w:rFonts w:ascii="Arial" w:hAnsi="Arial" w:cs="Arial"/>
          <w:b/>
        </w:rPr>
        <w:t>内容</w:t>
      </w:r>
      <w:r>
        <w:rPr>
          <w:rFonts w:hint="eastAsia" w:ascii="Arial" w:hAnsi="Arial" w:cs="Arial"/>
          <w:b/>
        </w:rPr>
        <w:t>及要求</w:t>
      </w:r>
    </w:p>
    <w:p>
      <w:pPr>
        <w:spacing w:line="360" w:lineRule="auto"/>
        <w:rPr>
          <w:rFonts w:ascii="Arial" w:hAnsi="Arial" w:cs="Arial"/>
          <w:b/>
        </w:rPr>
      </w:pPr>
      <w:r>
        <w:rPr>
          <w:rFonts w:hint="eastAsia" w:ascii="Arial" w:hAnsi="Arial" w:cs="Arial"/>
          <w:b/>
        </w:rPr>
        <w:t>1、主要功能</w:t>
      </w:r>
    </w:p>
    <w:tbl>
      <w:tblPr>
        <w:tblStyle w:val="55"/>
        <w:tblW w:w="94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6"/>
        <w:gridCol w:w="125"/>
        <w:gridCol w:w="1984"/>
        <w:gridCol w:w="846"/>
        <w:gridCol w:w="5786"/>
        <w:gridCol w:w="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jc w:val="center"/>
        </w:trPr>
        <w:tc>
          <w:tcPr>
            <w:tcW w:w="851" w:type="dxa"/>
            <w:gridSpan w:val="2"/>
          </w:tcPr>
          <w:p>
            <w:pPr>
              <w:pStyle w:val="458"/>
              <w:spacing w:before="120" w:after="120"/>
              <w:ind w:left="11"/>
              <w:jc w:val="center"/>
              <w:rPr>
                <w:sz w:val="23"/>
              </w:rPr>
            </w:pPr>
            <w:r>
              <w:rPr>
                <w:sz w:val="23"/>
              </w:rPr>
              <w:t>1</w:t>
            </w:r>
          </w:p>
        </w:tc>
        <w:tc>
          <w:tcPr>
            <w:tcW w:w="1984" w:type="dxa"/>
          </w:tcPr>
          <w:p>
            <w:pPr>
              <w:pStyle w:val="458"/>
              <w:spacing w:before="120" w:after="120" w:line="254" w:lineRule="auto"/>
              <w:ind w:left="875" w:right="59" w:hanging="804"/>
              <w:rPr>
                <w:sz w:val="23"/>
              </w:rPr>
            </w:pPr>
            <w:r>
              <w:rPr>
                <w:sz w:val="23"/>
              </w:rPr>
              <w:t>时间等比例混合采样</w:t>
            </w:r>
          </w:p>
        </w:tc>
        <w:tc>
          <w:tcPr>
            <w:tcW w:w="6643" w:type="dxa"/>
            <w:gridSpan w:val="3"/>
          </w:tcPr>
          <w:p>
            <w:pPr>
              <w:pStyle w:val="458"/>
              <w:spacing w:before="120" w:after="120" w:line="254" w:lineRule="auto"/>
              <w:ind w:left="12" w:right="1"/>
              <w:rPr>
                <w:sz w:val="23"/>
              </w:rPr>
            </w:pPr>
            <w:r>
              <w:rPr>
                <w:spacing w:val="-6"/>
                <w:sz w:val="23"/>
              </w:rPr>
              <w:t>按设定采样时间间隔，将定量的水样从指定采样点分别采集到指定样品容器内的采样方式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851" w:type="dxa"/>
            <w:gridSpan w:val="2"/>
          </w:tcPr>
          <w:p>
            <w:pPr>
              <w:pStyle w:val="458"/>
              <w:spacing w:before="120" w:after="120"/>
              <w:ind w:left="11"/>
              <w:jc w:val="center"/>
              <w:rPr>
                <w:sz w:val="23"/>
              </w:rPr>
            </w:pPr>
            <w:r>
              <w:rPr>
                <w:sz w:val="23"/>
              </w:rPr>
              <w:t>2</w:t>
            </w:r>
          </w:p>
        </w:tc>
        <w:tc>
          <w:tcPr>
            <w:tcW w:w="1984" w:type="dxa"/>
          </w:tcPr>
          <w:p>
            <w:pPr>
              <w:pStyle w:val="458"/>
              <w:spacing w:before="120" w:after="120"/>
              <w:ind w:left="282" w:right="272"/>
              <w:jc w:val="center"/>
              <w:rPr>
                <w:sz w:val="23"/>
              </w:rPr>
            </w:pPr>
            <w:r>
              <w:rPr>
                <w:sz w:val="23"/>
              </w:rPr>
              <w:t>混合样品供样</w:t>
            </w:r>
          </w:p>
        </w:tc>
        <w:tc>
          <w:tcPr>
            <w:tcW w:w="6643" w:type="dxa"/>
            <w:gridSpan w:val="3"/>
          </w:tcPr>
          <w:p>
            <w:pPr>
              <w:pStyle w:val="458"/>
              <w:spacing w:before="120" w:after="120"/>
              <w:ind w:left="12"/>
              <w:rPr>
                <w:sz w:val="23"/>
              </w:rPr>
            </w:pPr>
            <w:r>
              <w:rPr>
                <w:sz w:val="23"/>
              </w:rPr>
              <w:t>按设定策略，将采集到样品输送给水质自动分析仪分析的过程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851" w:type="dxa"/>
            <w:gridSpan w:val="2"/>
          </w:tcPr>
          <w:p>
            <w:pPr>
              <w:pStyle w:val="458"/>
              <w:spacing w:before="120" w:after="120"/>
              <w:ind w:left="11"/>
              <w:jc w:val="center"/>
              <w:rPr>
                <w:sz w:val="23"/>
              </w:rPr>
            </w:pPr>
            <w:r>
              <w:rPr>
                <w:sz w:val="23"/>
              </w:rPr>
              <w:t>3</w:t>
            </w:r>
          </w:p>
        </w:tc>
        <w:tc>
          <w:tcPr>
            <w:tcW w:w="1984" w:type="dxa"/>
          </w:tcPr>
          <w:p>
            <w:pPr>
              <w:pStyle w:val="458"/>
              <w:spacing w:before="120" w:after="120"/>
              <w:ind w:left="282" w:right="272"/>
              <w:jc w:val="center"/>
              <w:rPr>
                <w:sz w:val="23"/>
              </w:rPr>
            </w:pPr>
            <w:r>
              <w:rPr>
                <w:sz w:val="23"/>
              </w:rPr>
              <w:t>超标留样</w:t>
            </w:r>
          </w:p>
        </w:tc>
        <w:tc>
          <w:tcPr>
            <w:tcW w:w="6643" w:type="dxa"/>
            <w:gridSpan w:val="3"/>
          </w:tcPr>
          <w:p>
            <w:pPr>
              <w:pStyle w:val="458"/>
              <w:spacing w:before="120" w:after="120"/>
              <w:ind w:left="12"/>
              <w:rPr>
                <w:sz w:val="23"/>
              </w:rPr>
            </w:pPr>
            <w:r>
              <w:rPr>
                <w:sz w:val="23"/>
              </w:rPr>
              <w:t>根据水质自动分析仪监测数据，判断是否超过阈值，并进行留样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jc w:val="center"/>
        </w:trPr>
        <w:tc>
          <w:tcPr>
            <w:tcW w:w="851" w:type="dxa"/>
            <w:gridSpan w:val="2"/>
            <w:tcBorders>
              <w:bottom w:val="single" w:color="auto" w:sz="4" w:space="0"/>
            </w:tcBorders>
          </w:tcPr>
          <w:p>
            <w:pPr>
              <w:pStyle w:val="458"/>
              <w:spacing w:before="120" w:after="120"/>
              <w:ind w:left="11"/>
              <w:jc w:val="center"/>
              <w:rPr>
                <w:sz w:val="23"/>
              </w:rPr>
            </w:pPr>
            <w:r>
              <w:rPr>
                <w:sz w:val="23"/>
              </w:rPr>
              <w:t>4</w:t>
            </w:r>
          </w:p>
        </w:tc>
        <w:tc>
          <w:tcPr>
            <w:tcW w:w="1984" w:type="dxa"/>
            <w:tcBorders>
              <w:bottom w:val="single" w:color="auto" w:sz="4" w:space="0"/>
            </w:tcBorders>
          </w:tcPr>
          <w:p>
            <w:pPr>
              <w:pStyle w:val="458"/>
              <w:spacing w:before="120" w:after="120"/>
              <w:ind w:left="279" w:right="272"/>
              <w:jc w:val="center"/>
              <w:rPr>
                <w:sz w:val="23"/>
              </w:rPr>
            </w:pPr>
            <w:r>
              <w:rPr>
                <w:sz w:val="23"/>
              </w:rPr>
              <w:t>其他</w:t>
            </w:r>
          </w:p>
        </w:tc>
        <w:tc>
          <w:tcPr>
            <w:tcW w:w="6643" w:type="dxa"/>
            <w:gridSpan w:val="3"/>
            <w:tcBorders>
              <w:bottom w:val="single" w:color="auto" w:sz="4" w:space="0"/>
            </w:tcBorders>
          </w:tcPr>
          <w:p>
            <w:pPr>
              <w:pStyle w:val="458"/>
              <w:spacing w:before="120" w:after="120" w:line="254" w:lineRule="auto"/>
              <w:ind w:left="12" w:right="1"/>
              <w:rPr>
                <w:sz w:val="23"/>
              </w:rPr>
            </w:pPr>
            <w:r>
              <w:rPr>
                <w:spacing w:val="-8"/>
                <w:sz w:val="23"/>
              </w:rPr>
              <w:t>实时数据、历史记录、运行日志、参数设置、监控分析仪、数据导出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jc w:val="center"/>
        </w:trPr>
        <w:tc>
          <w:tcPr>
            <w:tcW w:w="2835" w:type="dxa"/>
            <w:gridSpan w:val="3"/>
            <w:tcBorders>
              <w:top w:val="single" w:color="auto" w:sz="4" w:space="0"/>
              <w:left w:val="nil"/>
              <w:bottom w:val="single" w:color="auto" w:sz="4" w:space="0"/>
              <w:right w:val="nil"/>
            </w:tcBorders>
          </w:tcPr>
          <w:p>
            <w:pPr>
              <w:spacing w:line="360" w:lineRule="auto"/>
              <w:rPr>
                <w:rFonts w:ascii="Arial" w:hAnsi="Arial" w:cs="Arial"/>
                <w:b/>
              </w:rPr>
            </w:pPr>
          </w:p>
          <w:p>
            <w:pPr>
              <w:spacing w:line="360" w:lineRule="auto"/>
              <w:rPr>
                <w:sz w:val="23"/>
              </w:rPr>
            </w:pPr>
            <w:r>
              <w:rPr>
                <w:rFonts w:hint="eastAsia" w:ascii="Arial" w:hAnsi="Arial" w:cs="Arial"/>
                <w:b/>
              </w:rPr>
              <w:t>2、技术参数</w:t>
            </w:r>
          </w:p>
        </w:tc>
        <w:tc>
          <w:tcPr>
            <w:tcW w:w="6643" w:type="dxa"/>
            <w:gridSpan w:val="3"/>
            <w:tcBorders>
              <w:top w:val="single" w:color="auto" w:sz="4" w:space="0"/>
              <w:left w:val="nil"/>
              <w:bottom w:val="single" w:color="auto" w:sz="4" w:space="0"/>
              <w:right w:val="nil"/>
            </w:tcBorders>
          </w:tcPr>
          <w:p>
            <w:pPr>
              <w:pStyle w:val="458"/>
              <w:spacing w:before="120" w:after="120" w:line="254" w:lineRule="auto"/>
              <w:ind w:left="12" w:right="1"/>
              <w:rPr>
                <w:spacing w:val="-8"/>
                <w:sz w:val="23"/>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851" w:type="dxa"/>
            <w:gridSpan w:val="2"/>
          </w:tcPr>
          <w:p>
            <w:pPr>
              <w:pStyle w:val="458"/>
              <w:spacing w:before="120" w:after="120"/>
              <w:ind w:left="10"/>
              <w:jc w:val="center"/>
            </w:pPr>
            <w:r>
              <w:rPr>
                <w:w w:val="99"/>
              </w:rPr>
              <w:t>1</w:t>
            </w:r>
          </w:p>
        </w:tc>
        <w:tc>
          <w:tcPr>
            <w:tcW w:w="8616" w:type="dxa"/>
            <w:gridSpan w:val="3"/>
          </w:tcPr>
          <w:p>
            <w:pPr>
              <w:pStyle w:val="458"/>
              <w:spacing w:before="120" w:after="120"/>
              <w:ind w:left="640"/>
              <w:rPr>
                <w:b/>
              </w:rPr>
            </w:pPr>
            <w:r>
              <w:rPr>
                <w:b/>
              </w:rPr>
              <w:t>采样供样参数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851" w:type="dxa"/>
            <w:gridSpan w:val="2"/>
          </w:tcPr>
          <w:p>
            <w:pPr>
              <w:pStyle w:val="458"/>
              <w:spacing w:before="120" w:after="120"/>
              <w:ind w:left="191" w:right="185"/>
              <w:jc w:val="center"/>
              <w:rPr>
                <w:sz w:val="23"/>
              </w:rPr>
            </w:pPr>
            <w:r>
              <w:rPr>
                <w:sz w:val="23"/>
              </w:rPr>
              <w:t>1.1</w:t>
            </w:r>
          </w:p>
        </w:tc>
        <w:tc>
          <w:tcPr>
            <w:tcW w:w="2830" w:type="dxa"/>
            <w:gridSpan w:val="2"/>
          </w:tcPr>
          <w:p>
            <w:pPr>
              <w:pStyle w:val="458"/>
              <w:spacing w:before="120" w:after="120"/>
              <w:ind w:left="378" w:right="371"/>
              <w:jc w:val="center"/>
              <w:rPr>
                <w:sz w:val="23"/>
              </w:rPr>
            </w:pPr>
            <w:r>
              <w:rPr>
                <w:sz w:val="23"/>
              </w:rPr>
              <w:t>采样误差</w:t>
            </w:r>
          </w:p>
        </w:tc>
        <w:tc>
          <w:tcPr>
            <w:tcW w:w="5786" w:type="dxa"/>
          </w:tcPr>
          <w:p>
            <w:pPr>
              <w:pStyle w:val="458"/>
              <w:spacing w:before="120" w:after="120"/>
              <w:ind w:left="11"/>
              <w:rPr>
                <w:sz w:val="23"/>
              </w:rPr>
            </w:pPr>
            <w:r>
              <w:rPr>
                <w:sz w:val="23"/>
              </w:rPr>
              <w:t>≤±</w:t>
            </w:r>
            <w:r>
              <w:rPr>
                <w:rFonts w:eastAsia="Times New Roman"/>
                <w:sz w:val="23"/>
              </w:rPr>
              <w:t>10%</w:t>
            </w:r>
            <w:r>
              <w:rPr>
                <w:sz w:val="23"/>
              </w:rPr>
              <w:t xml:space="preserve">或 </w:t>
            </w:r>
            <w:r>
              <w:rPr>
                <w:rFonts w:eastAsia="Times New Roman"/>
                <w:sz w:val="23"/>
              </w:rPr>
              <w:t>10ml</w:t>
            </w:r>
            <w:r>
              <w:rPr>
                <w:sz w:val="23"/>
              </w:rPr>
              <w:t>，取其最大者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2" w:hRule="atLeast"/>
          <w:jc w:val="center"/>
        </w:trPr>
        <w:tc>
          <w:tcPr>
            <w:tcW w:w="851" w:type="dxa"/>
            <w:gridSpan w:val="2"/>
          </w:tcPr>
          <w:p>
            <w:pPr>
              <w:pStyle w:val="458"/>
              <w:spacing w:before="120" w:after="120"/>
              <w:ind w:left="191" w:right="185"/>
              <w:jc w:val="center"/>
              <w:rPr>
                <w:sz w:val="23"/>
              </w:rPr>
            </w:pPr>
            <w:r>
              <w:rPr>
                <w:sz w:val="23"/>
              </w:rPr>
              <w:t>1.2</w:t>
            </w:r>
          </w:p>
        </w:tc>
        <w:tc>
          <w:tcPr>
            <w:tcW w:w="2830" w:type="dxa"/>
            <w:gridSpan w:val="2"/>
          </w:tcPr>
          <w:p>
            <w:pPr>
              <w:pStyle w:val="458"/>
              <w:spacing w:before="120" w:after="120"/>
              <w:ind w:left="378" w:right="369"/>
              <w:jc w:val="center"/>
              <w:rPr>
                <w:sz w:val="23"/>
              </w:rPr>
            </w:pPr>
            <w:r>
              <w:rPr>
                <w:sz w:val="23"/>
              </w:rPr>
              <w:t>重复性</w:t>
            </w:r>
          </w:p>
        </w:tc>
        <w:tc>
          <w:tcPr>
            <w:tcW w:w="5786" w:type="dxa"/>
          </w:tcPr>
          <w:p>
            <w:pPr>
              <w:pStyle w:val="458"/>
              <w:spacing w:before="120" w:after="120"/>
              <w:ind w:left="11"/>
              <w:rPr>
                <w:sz w:val="23"/>
              </w:rPr>
            </w:pPr>
            <w:r>
              <w:rPr>
                <w:sz w:val="23"/>
              </w:rPr>
              <w:t>≥</w:t>
            </w:r>
            <w:r>
              <w:rPr>
                <w:rFonts w:eastAsia="Times New Roman"/>
                <w:sz w:val="23"/>
              </w:rPr>
              <w:t>95%</w:t>
            </w:r>
            <w:r>
              <w:rPr>
                <w:sz w:val="23"/>
              </w:rPr>
              <w:t>（连续两个样）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851" w:type="dxa"/>
            <w:gridSpan w:val="2"/>
          </w:tcPr>
          <w:p>
            <w:pPr>
              <w:pStyle w:val="458"/>
              <w:spacing w:before="120" w:after="120"/>
              <w:ind w:left="191" w:right="185"/>
              <w:jc w:val="center"/>
              <w:rPr>
                <w:sz w:val="23"/>
              </w:rPr>
            </w:pPr>
            <w:r>
              <w:rPr>
                <w:sz w:val="23"/>
              </w:rPr>
              <w:t>1.3</w:t>
            </w:r>
          </w:p>
        </w:tc>
        <w:tc>
          <w:tcPr>
            <w:tcW w:w="2830" w:type="dxa"/>
            <w:gridSpan w:val="2"/>
          </w:tcPr>
          <w:p>
            <w:pPr>
              <w:pStyle w:val="458"/>
              <w:spacing w:before="120" w:after="120"/>
              <w:ind w:left="378" w:right="371"/>
              <w:jc w:val="center"/>
              <w:rPr>
                <w:sz w:val="23"/>
              </w:rPr>
            </w:pPr>
            <w:r>
              <w:rPr>
                <w:sz w:val="23"/>
              </w:rPr>
              <w:t>等比例采样误差</w:t>
            </w:r>
          </w:p>
        </w:tc>
        <w:tc>
          <w:tcPr>
            <w:tcW w:w="5786" w:type="dxa"/>
          </w:tcPr>
          <w:p>
            <w:pPr>
              <w:pStyle w:val="458"/>
              <w:spacing w:before="120" w:after="120"/>
              <w:ind w:left="11"/>
              <w:rPr>
                <w:sz w:val="23"/>
              </w:rPr>
            </w:pPr>
            <w:r>
              <w:rPr>
                <w:sz w:val="23"/>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851" w:type="dxa"/>
            <w:gridSpan w:val="2"/>
          </w:tcPr>
          <w:p>
            <w:pPr>
              <w:pStyle w:val="458"/>
              <w:spacing w:before="120" w:after="120"/>
              <w:ind w:left="191" w:right="185"/>
              <w:jc w:val="center"/>
              <w:rPr>
                <w:sz w:val="23"/>
              </w:rPr>
            </w:pPr>
            <w:r>
              <w:rPr>
                <w:sz w:val="23"/>
              </w:rPr>
              <w:t>1.4</w:t>
            </w:r>
          </w:p>
        </w:tc>
        <w:tc>
          <w:tcPr>
            <w:tcW w:w="2830" w:type="dxa"/>
            <w:gridSpan w:val="2"/>
          </w:tcPr>
          <w:p>
            <w:pPr>
              <w:pStyle w:val="458"/>
              <w:spacing w:before="120" w:after="120"/>
              <w:ind w:left="378" w:right="369"/>
              <w:jc w:val="center"/>
              <w:rPr>
                <w:sz w:val="23"/>
              </w:rPr>
            </w:pPr>
            <w:r>
              <w:rPr>
                <w:sz w:val="23"/>
              </w:rPr>
              <w:t>采样量</w:t>
            </w:r>
          </w:p>
        </w:tc>
        <w:tc>
          <w:tcPr>
            <w:tcW w:w="5786" w:type="dxa"/>
          </w:tcPr>
          <w:p>
            <w:pPr>
              <w:pStyle w:val="458"/>
              <w:spacing w:before="120" w:after="120"/>
              <w:ind w:left="11"/>
              <w:rPr>
                <w:rFonts w:eastAsia="Times New Roman"/>
                <w:sz w:val="23"/>
              </w:rPr>
            </w:pPr>
            <w:r>
              <w:rPr>
                <w:sz w:val="23"/>
              </w:rPr>
              <w:t>（</w:t>
            </w:r>
            <w:r>
              <w:rPr>
                <w:rFonts w:eastAsia="Times New Roman"/>
                <w:sz w:val="23"/>
              </w:rPr>
              <w:t>10-1000</w:t>
            </w:r>
            <w:r>
              <w:rPr>
                <w:sz w:val="23"/>
              </w:rPr>
              <w:t>）</w:t>
            </w:r>
            <w:r>
              <w:rPr>
                <w:rFonts w:eastAsia="Times New Roman"/>
                <w:sz w:val="23"/>
              </w:rPr>
              <w:t>ml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851" w:type="dxa"/>
            <w:gridSpan w:val="2"/>
          </w:tcPr>
          <w:p>
            <w:pPr>
              <w:pStyle w:val="458"/>
              <w:spacing w:before="120" w:after="120"/>
              <w:ind w:left="10"/>
              <w:jc w:val="center"/>
            </w:pPr>
            <w:r>
              <w:rPr>
                <w:w w:val="99"/>
              </w:rPr>
              <w:t>2</w:t>
            </w:r>
          </w:p>
        </w:tc>
        <w:tc>
          <w:tcPr>
            <w:tcW w:w="8616" w:type="dxa"/>
            <w:gridSpan w:val="3"/>
          </w:tcPr>
          <w:p>
            <w:pPr>
              <w:pStyle w:val="458"/>
              <w:spacing w:before="120" w:after="120"/>
              <w:ind w:left="852"/>
              <w:rPr>
                <w:b/>
              </w:rPr>
            </w:pPr>
            <w:r>
              <w:rPr>
                <w:b/>
              </w:rPr>
              <w:t>留样参数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13" w:hRule="atLeast"/>
          <w:jc w:val="center"/>
        </w:trPr>
        <w:tc>
          <w:tcPr>
            <w:tcW w:w="851" w:type="dxa"/>
            <w:gridSpan w:val="2"/>
          </w:tcPr>
          <w:p>
            <w:pPr>
              <w:pStyle w:val="458"/>
              <w:spacing w:before="120" w:after="120"/>
              <w:ind w:left="191" w:right="185"/>
              <w:jc w:val="center"/>
              <w:rPr>
                <w:sz w:val="23"/>
              </w:rPr>
            </w:pPr>
            <w:r>
              <w:rPr>
                <w:sz w:val="23"/>
              </w:rPr>
              <w:t>2.1</w:t>
            </w:r>
          </w:p>
        </w:tc>
        <w:tc>
          <w:tcPr>
            <w:tcW w:w="2830" w:type="dxa"/>
            <w:gridSpan w:val="2"/>
          </w:tcPr>
          <w:p>
            <w:pPr>
              <w:pStyle w:val="458"/>
              <w:spacing w:before="120" w:after="120"/>
              <w:ind w:left="378" w:right="371"/>
              <w:jc w:val="center"/>
              <w:rPr>
                <w:sz w:val="23"/>
              </w:rPr>
            </w:pPr>
            <w:r>
              <w:rPr>
                <w:sz w:val="23"/>
              </w:rPr>
              <w:t>留样瓶数</w:t>
            </w:r>
          </w:p>
        </w:tc>
        <w:tc>
          <w:tcPr>
            <w:tcW w:w="5786" w:type="dxa"/>
          </w:tcPr>
          <w:p>
            <w:pPr>
              <w:pStyle w:val="458"/>
              <w:spacing w:before="120" w:after="120"/>
              <w:ind w:left="11"/>
              <w:rPr>
                <w:sz w:val="23"/>
              </w:rPr>
            </w:pPr>
            <w:r>
              <w:rPr>
                <w:rFonts w:eastAsia="Times New Roman"/>
                <w:sz w:val="23"/>
              </w:rPr>
              <w:t xml:space="preserve">1~24 </w:t>
            </w:r>
            <w:r>
              <w:rPr>
                <w:sz w:val="23"/>
              </w:rPr>
              <w:t>瓶（可设）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698" w:hRule="atLeast"/>
          <w:jc w:val="center"/>
        </w:trPr>
        <w:tc>
          <w:tcPr>
            <w:tcW w:w="851" w:type="dxa"/>
            <w:gridSpan w:val="2"/>
          </w:tcPr>
          <w:p>
            <w:pPr>
              <w:pStyle w:val="458"/>
              <w:spacing w:before="120" w:after="120"/>
              <w:ind w:left="191" w:right="185"/>
              <w:jc w:val="center"/>
              <w:rPr>
                <w:sz w:val="23"/>
              </w:rPr>
            </w:pPr>
            <w:r>
              <w:rPr>
                <w:sz w:val="23"/>
              </w:rPr>
              <w:t>2.2</w:t>
            </w:r>
          </w:p>
        </w:tc>
        <w:tc>
          <w:tcPr>
            <w:tcW w:w="2830" w:type="dxa"/>
            <w:gridSpan w:val="2"/>
          </w:tcPr>
          <w:p>
            <w:pPr>
              <w:pStyle w:val="458"/>
              <w:spacing w:before="120" w:after="120"/>
              <w:ind w:left="378" w:right="371"/>
              <w:jc w:val="center"/>
              <w:rPr>
                <w:sz w:val="23"/>
              </w:rPr>
            </w:pPr>
            <w:r>
              <w:rPr>
                <w:sz w:val="23"/>
              </w:rPr>
              <w:t>单瓶最大容量</w:t>
            </w:r>
          </w:p>
        </w:tc>
        <w:tc>
          <w:tcPr>
            <w:tcW w:w="5786" w:type="dxa"/>
          </w:tcPr>
          <w:p>
            <w:pPr>
              <w:pStyle w:val="458"/>
              <w:spacing w:before="120" w:after="120"/>
              <w:ind w:left="11"/>
              <w:rPr>
                <w:sz w:val="23"/>
              </w:rPr>
            </w:pPr>
            <w:r>
              <w:rPr>
                <w:sz w:val="23"/>
              </w:rPr>
              <w:t>1000ml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9" w:hRule="atLeast"/>
          <w:jc w:val="center"/>
        </w:trPr>
        <w:tc>
          <w:tcPr>
            <w:tcW w:w="851" w:type="dxa"/>
            <w:gridSpan w:val="2"/>
          </w:tcPr>
          <w:p>
            <w:pPr>
              <w:pStyle w:val="458"/>
              <w:spacing w:before="120" w:after="120"/>
              <w:ind w:left="191" w:right="185"/>
              <w:jc w:val="center"/>
              <w:rPr>
                <w:sz w:val="23"/>
              </w:rPr>
            </w:pPr>
            <w:r>
              <w:rPr>
                <w:sz w:val="23"/>
              </w:rPr>
              <w:t>2.3</w:t>
            </w:r>
          </w:p>
        </w:tc>
        <w:tc>
          <w:tcPr>
            <w:tcW w:w="2830" w:type="dxa"/>
            <w:gridSpan w:val="2"/>
          </w:tcPr>
          <w:p>
            <w:pPr>
              <w:pStyle w:val="458"/>
              <w:spacing w:before="120" w:after="120"/>
              <w:ind w:left="378" w:right="371"/>
              <w:jc w:val="center"/>
              <w:rPr>
                <w:sz w:val="23"/>
              </w:rPr>
            </w:pPr>
            <w:r>
              <w:rPr>
                <w:sz w:val="23"/>
              </w:rPr>
              <w:t>样品保存温度</w:t>
            </w:r>
          </w:p>
        </w:tc>
        <w:tc>
          <w:tcPr>
            <w:tcW w:w="5786" w:type="dxa"/>
          </w:tcPr>
          <w:p>
            <w:pPr>
              <w:pStyle w:val="458"/>
              <w:spacing w:before="120" w:after="120"/>
              <w:ind w:left="11"/>
              <w:rPr>
                <w:sz w:val="23"/>
              </w:rPr>
            </w:pPr>
            <w:r>
              <w:rPr>
                <w:sz w:val="23"/>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81" w:hRule="atLeast"/>
          <w:jc w:val="center"/>
        </w:trPr>
        <w:tc>
          <w:tcPr>
            <w:tcW w:w="851" w:type="dxa"/>
            <w:gridSpan w:val="2"/>
          </w:tcPr>
          <w:p>
            <w:pPr>
              <w:pStyle w:val="458"/>
              <w:spacing w:before="120" w:after="120"/>
              <w:ind w:left="191" w:right="185"/>
              <w:jc w:val="center"/>
              <w:rPr>
                <w:sz w:val="23"/>
              </w:rPr>
            </w:pPr>
            <w:r>
              <w:rPr>
                <w:sz w:val="23"/>
              </w:rPr>
              <w:t>2.4</w:t>
            </w:r>
          </w:p>
        </w:tc>
        <w:tc>
          <w:tcPr>
            <w:tcW w:w="2830" w:type="dxa"/>
            <w:gridSpan w:val="2"/>
          </w:tcPr>
          <w:p>
            <w:pPr>
              <w:pStyle w:val="458"/>
              <w:spacing w:before="120" w:after="120"/>
              <w:ind w:left="378" w:right="369"/>
              <w:jc w:val="center"/>
              <w:rPr>
                <w:sz w:val="23"/>
              </w:rPr>
            </w:pPr>
            <w:r>
              <w:rPr>
                <w:sz w:val="23"/>
              </w:rPr>
              <w:t>保护剂</w:t>
            </w:r>
          </w:p>
        </w:tc>
        <w:tc>
          <w:tcPr>
            <w:tcW w:w="5786" w:type="dxa"/>
          </w:tcPr>
          <w:p>
            <w:pPr>
              <w:pStyle w:val="458"/>
              <w:spacing w:before="120" w:after="120"/>
              <w:ind w:left="11"/>
              <w:rPr>
                <w:sz w:val="23"/>
              </w:rPr>
            </w:pPr>
            <w:r>
              <w:rPr>
                <w:sz w:val="23"/>
              </w:rPr>
              <w:t>可加一种保护剂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92" w:hRule="atLeast"/>
          <w:jc w:val="center"/>
        </w:trPr>
        <w:tc>
          <w:tcPr>
            <w:tcW w:w="851" w:type="dxa"/>
            <w:gridSpan w:val="2"/>
          </w:tcPr>
          <w:p>
            <w:pPr>
              <w:pStyle w:val="458"/>
              <w:spacing w:before="120" w:after="120"/>
              <w:ind w:left="191" w:right="185"/>
              <w:jc w:val="center"/>
              <w:rPr>
                <w:sz w:val="23"/>
              </w:rPr>
            </w:pPr>
            <w:r>
              <w:rPr>
                <w:sz w:val="23"/>
              </w:rPr>
              <w:t>2.5</w:t>
            </w:r>
          </w:p>
        </w:tc>
        <w:tc>
          <w:tcPr>
            <w:tcW w:w="2830" w:type="dxa"/>
            <w:gridSpan w:val="2"/>
          </w:tcPr>
          <w:p>
            <w:pPr>
              <w:pStyle w:val="458"/>
              <w:spacing w:before="120" w:after="120"/>
              <w:ind w:left="378" w:right="371"/>
              <w:jc w:val="center"/>
              <w:rPr>
                <w:sz w:val="23"/>
              </w:rPr>
            </w:pPr>
            <w:r>
              <w:rPr>
                <w:sz w:val="23"/>
              </w:rPr>
              <w:t>取样垂直高度</w:t>
            </w:r>
          </w:p>
        </w:tc>
        <w:tc>
          <w:tcPr>
            <w:tcW w:w="5786" w:type="dxa"/>
          </w:tcPr>
          <w:p>
            <w:pPr>
              <w:pStyle w:val="458"/>
              <w:spacing w:before="120" w:after="120"/>
              <w:ind w:left="11"/>
              <w:rPr>
                <w:sz w:val="23"/>
              </w:rPr>
            </w:pPr>
            <w:r>
              <w:rPr>
                <w:sz w:val="23"/>
              </w:rPr>
              <w:t>≥5m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726" w:type="dxa"/>
          </w:tcPr>
          <w:p>
            <w:pPr>
              <w:pStyle w:val="458"/>
              <w:spacing w:before="120" w:after="120"/>
              <w:ind w:left="10"/>
              <w:jc w:val="center"/>
            </w:pPr>
            <w:r>
              <w:rPr>
                <w:w w:val="99"/>
              </w:rPr>
              <w:t>3</w:t>
            </w:r>
          </w:p>
        </w:tc>
        <w:tc>
          <w:tcPr>
            <w:tcW w:w="8741" w:type="dxa"/>
            <w:gridSpan w:val="4"/>
          </w:tcPr>
          <w:p>
            <w:pPr>
              <w:pStyle w:val="458"/>
              <w:spacing w:before="120" w:after="120"/>
              <w:ind w:left="470"/>
              <w:rPr>
                <w:b/>
                <w:sz w:val="23"/>
              </w:rPr>
            </w:pPr>
            <w:r>
              <w:rPr>
                <w:b/>
                <w:sz w:val="23"/>
              </w:rPr>
              <w:t>通讯接口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92" w:hRule="atLeast"/>
          <w:jc w:val="center"/>
        </w:trPr>
        <w:tc>
          <w:tcPr>
            <w:tcW w:w="726" w:type="dxa"/>
          </w:tcPr>
          <w:p>
            <w:pPr>
              <w:pStyle w:val="458"/>
              <w:spacing w:before="120" w:after="120"/>
              <w:ind w:left="191" w:right="185"/>
              <w:jc w:val="center"/>
              <w:rPr>
                <w:sz w:val="23"/>
              </w:rPr>
            </w:pPr>
            <w:r>
              <w:rPr>
                <w:sz w:val="23"/>
              </w:rPr>
              <w:t>3.1</w:t>
            </w:r>
          </w:p>
        </w:tc>
        <w:tc>
          <w:tcPr>
            <w:tcW w:w="2955" w:type="dxa"/>
            <w:gridSpan w:val="3"/>
          </w:tcPr>
          <w:p>
            <w:pPr>
              <w:pStyle w:val="458"/>
              <w:spacing w:before="120" w:after="120"/>
              <w:ind w:left="378" w:right="369"/>
              <w:jc w:val="center"/>
              <w:rPr>
                <w:sz w:val="23"/>
              </w:rPr>
            </w:pPr>
            <w:r>
              <w:rPr>
                <w:sz w:val="23"/>
              </w:rPr>
              <w:t>数字量</w:t>
            </w:r>
          </w:p>
        </w:tc>
        <w:tc>
          <w:tcPr>
            <w:tcW w:w="5786" w:type="dxa"/>
          </w:tcPr>
          <w:p>
            <w:pPr>
              <w:pStyle w:val="458"/>
              <w:spacing w:before="120" w:after="120"/>
              <w:ind w:left="11"/>
              <w:rPr>
                <w:rFonts w:eastAsia="Times New Roman"/>
                <w:sz w:val="23"/>
              </w:rPr>
            </w:pPr>
            <w:r>
              <w:rPr>
                <w:rFonts w:eastAsia="Times New Roman"/>
                <w:sz w:val="23"/>
              </w:rPr>
              <w:t xml:space="preserve">1 </w:t>
            </w:r>
            <w:r>
              <w:rPr>
                <w:sz w:val="23"/>
              </w:rPr>
              <w:t xml:space="preserve">路 </w:t>
            </w:r>
            <w:r>
              <w:rPr>
                <w:rFonts w:eastAsia="Times New Roman"/>
                <w:sz w:val="23"/>
              </w:rPr>
              <w:t>RS485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71" w:hRule="atLeast"/>
          <w:jc w:val="center"/>
        </w:trPr>
        <w:tc>
          <w:tcPr>
            <w:tcW w:w="726" w:type="dxa"/>
          </w:tcPr>
          <w:p>
            <w:pPr>
              <w:pStyle w:val="458"/>
              <w:spacing w:before="120" w:after="120"/>
              <w:ind w:left="191" w:right="185"/>
              <w:jc w:val="center"/>
              <w:rPr>
                <w:sz w:val="23"/>
              </w:rPr>
            </w:pPr>
            <w:r>
              <w:rPr>
                <w:sz w:val="23"/>
              </w:rPr>
              <w:t>3.2</w:t>
            </w:r>
          </w:p>
        </w:tc>
        <w:tc>
          <w:tcPr>
            <w:tcW w:w="2955" w:type="dxa"/>
            <w:gridSpan w:val="3"/>
          </w:tcPr>
          <w:p>
            <w:pPr>
              <w:pStyle w:val="458"/>
              <w:spacing w:before="120" w:after="120"/>
              <w:ind w:left="378" w:right="371"/>
              <w:jc w:val="center"/>
              <w:rPr>
                <w:sz w:val="23"/>
              </w:rPr>
            </w:pPr>
            <w:r>
              <w:rPr>
                <w:sz w:val="23"/>
              </w:rPr>
              <w:t>开关量输入</w:t>
            </w:r>
          </w:p>
        </w:tc>
        <w:tc>
          <w:tcPr>
            <w:tcW w:w="5786" w:type="dxa"/>
          </w:tcPr>
          <w:p>
            <w:pPr>
              <w:pStyle w:val="458"/>
              <w:spacing w:before="120" w:after="120"/>
              <w:ind w:left="11"/>
              <w:rPr>
                <w:rFonts w:eastAsia="Times New Roman"/>
                <w:sz w:val="23"/>
              </w:rPr>
            </w:pPr>
            <w:r>
              <w:rPr>
                <w:rFonts w:eastAsia="Times New Roman"/>
                <w:sz w:val="23"/>
              </w:rPr>
              <w:t xml:space="preserve">1 </w:t>
            </w:r>
            <w:r>
              <w:rPr>
                <w:sz w:val="23"/>
              </w:rPr>
              <w:t xml:space="preserve">路 </w:t>
            </w:r>
            <w:r>
              <w:rPr>
                <w:rFonts w:eastAsia="Times New Roman"/>
                <w:sz w:val="23"/>
              </w:rPr>
              <w:t>DI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782" w:hRule="atLeast"/>
          <w:jc w:val="center"/>
        </w:trPr>
        <w:tc>
          <w:tcPr>
            <w:tcW w:w="726" w:type="dxa"/>
          </w:tcPr>
          <w:p>
            <w:pPr>
              <w:pStyle w:val="458"/>
              <w:spacing w:before="120" w:after="120"/>
              <w:ind w:left="191" w:right="185"/>
              <w:jc w:val="center"/>
              <w:rPr>
                <w:sz w:val="23"/>
              </w:rPr>
            </w:pPr>
            <w:r>
              <w:rPr>
                <w:sz w:val="23"/>
              </w:rPr>
              <w:t>3.3</w:t>
            </w:r>
          </w:p>
        </w:tc>
        <w:tc>
          <w:tcPr>
            <w:tcW w:w="2955" w:type="dxa"/>
            <w:gridSpan w:val="3"/>
          </w:tcPr>
          <w:p>
            <w:pPr>
              <w:pStyle w:val="458"/>
              <w:spacing w:before="120" w:after="120"/>
              <w:ind w:left="378" w:right="369"/>
              <w:jc w:val="center"/>
              <w:rPr>
                <w:sz w:val="23"/>
              </w:rPr>
            </w:pPr>
            <w:r>
              <w:rPr>
                <w:sz w:val="23"/>
              </w:rPr>
              <w:t>模拟量</w:t>
            </w:r>
          </w:p>
        </w:tc>
        <w:tc>
          <w:tcPr>
            <w:tcW w:w="5786" w:type="dxa"/>
          </w:tcPr>
          <w:p>
            <w:pPr>
              <w:pStyle w:val="458"/>
              <w:spacing w:before="120" w:after="120"/>
              <w:ind w:left="11"/>
              <w:rPr>
                <w:rFonts w:eastAsia="Times New Roman"/>
                <w:sz w:val="23"/>
              </w:rPr>
            </w:pPr>
            <w:r>
              <w:rPr>
                <w:rFonts w:eastAsia="Times New Roman"/>
                <w:sz w:val="23"/>
              </w:rPr>
              <w:t xml:space="preserve">1 </w:t>
            </w:r>
            <w:r>
              <w:rPr>
                <w:sz w:val="23"/>
              </w:rPr>
              <w:t>路（</w:t>
            </w:r>
            <w:r>
              <w:rPr>
                <w:rFonts w:eastAsia="Times New Roman"/>
                <w:sz w:val="23"/>
              </w:rPr>
              <w:t>4~20</w:t>
            </w:r>
            <w:r>
              <w:rPr>
                <w:sz w:val="23"/>
              </w:rPr>
              <w:t>）</w:t>
            </w:r>
            <w:r>
              <w:rPr>
                <w:rFonts w:eastAsia="Times New Roman"/>
                <w:sz w:val="23"/>
              </w:rPr>
              <w:t>mA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726" w:type="dxa"/>
          </w:tcPr>
          <w:p>
            <w:pPr>
              <w:pStyle w:val="458"/>
              <w:spacing w:before="120" w:after="120"/>
              <w:ind w:left="10"/>
              <w:jc w:val="center"/>
            </w:pPr>
            <w:r>
              <w:rPr>
                <w:w w:val="99"/>
              </w:rPr>
              <w:t>4</w:t>
            </w:r>
          </w:p>
        </w:tc>
        <w:tc>
          <w:tcPr>
            <w:tcW w:w="8741" w:type="dxa"/>
            <w:gridSpan w:val="4"/>
          </w:tcPr>
          <w:p>
            <w:pPr>
              <w:pStyle w:val="458"/>
              <w:spacing w:before="120" w:after="120"/>
              <w:ind w:left="470"/>
              <w:rPr>
                <w:b/>
                <w:sz w:val="23"/>
              </w:rPr>
            </w:pPr>
            <w:r>
              <w:rPr>
                <w:b/>
                <w:sz w:val="23"/>
              </w:rPr>
              <w:t>人机界面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726" w:type="dxa"/>
          </w:tcPr>
          <w:p>
            <w:pPr>
              <w:pStyle w:val="458"/>
              <w:spacing w:before="120" w:after="120"/>
              <w:ind w:left="191" w:right="185"/>
              <w:jc w:val="center"/>
              <w:rPr>
                <w:sz w:val="23"/>
              </w:rPr>
            </w:pPr>
            <w:r>
              <w:rPr>
                <w:sz w:val="23"/>
              </w:rPr>
              <w:t>4.1</w:t>
            </w:r>
          </w:p>
        </w:tc>
        <w:tc>
          <w:tcPr>
            <w:tcW w:w="2955" w:type="dxa"/>
            <w:gridSpan w:val="3"/>
          </w:tcPr>
          <w:p>
            <w:pPr>
              <w:pStyle w:val="458"/>
              <w:spacing w:before="120" w:after="120"/>
              <w:ind w:left="378" w:right="371"/>
              <w:jc w:val="center"/>
              <w:rPr>
                <w:sz w:val="23"/>
              </w:rPr>
            </w:pPr>
            <w:r>
              <w:rPr>
                <w:sz w:val="23"/>
              </w:rPr>
              <w:t>人机接口</w:t>
            </w:r>
          </w:p>
        </w:tc>
        <w:tc>
          <w:tcPr>
            <w:tcW w:w="5786" w:type="dxa"/>
          </w:tcPr>
          <w:p>
            <w:pPr>
              <w:pStyle w:val="458"/>
              <w:spacing w:before="120" w:after="120"/>
              <w:ind w:left="11"/>
              <w:rPr>
                <w:sz w:val="23"/>
              </w:rPr>
            </w:pPr>
            <w:r>
              <w:rPr>
                <w:sz w:val="23"/>
              </w:rPr>
              <w:t xml:space="preserve">标准 </w:t>
            </w:r>
            <w:r>
              <w:rPr>
                <w:rFonts w:eastAsia="Times New Roman"/>
                <w:sz w:val="23"/>
              </w:rPr>
              <w:t xml:space="preserve">6  </w:t>
            </w:r>
            <w:r>
              <w:rPr>
                <w:sz w:val="23"/>
              </w:rPr>
              <w:t>键小键盘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726" w:type="dxa"/>
          </w:tcPr>
          <w:p>
            <w:pPr>
              <w:pStyle w:val="458"/>
              <w:spacing w:before="120" w:after="120"/>
              <w:ind w:left="191" w:right="185"/>
              <w:jc w:val="center"/>
              <w:rPr>
                <w:sz w:val="23"/>
              </w:rPr>
            </w:pPr>
            <w:r>
              <w:rPr>
                <w:sz w:val="23"/>
              </w:rPr>
              <w:t>4.2</w:t>
            </w:r>
          </w:p>
        </w:tc>
        <w:tc>
          <w:tcPr>
            <w:tcW w:w="2955" w:type="dxa"/>
            <w:gridSpan w:val="3"/>
          </w:tcPr>
          <w:p>
            <w:pPr>
              <w:pStyle w:val="458"/>
              <w:spacing w:before="120" w:after="120"/>
              <w:ind w:left="378" w:right="369"/>
              <w:jc w:val="center"/>
              <w:rPr>
                <w:sz w:val="23"/>
              </w:rPr>
            </w:pPr>
            <w:r>
              <w:rPr>
                <w:sz w:val="23"/>
              </w:rPr>
              <w:t>菜单</w:t>
            </w:r>
          </w:p>
        </w:tc>
        <w:tc>
          <w:tcPr>
            <w:tcW w:w="5786" w:type="dxa"/>
          </w:tcPr>
          <w:p>
            <w:pPr>
              <w:pStyle w:val="458"/>
              <w:spacing w:before="120" w:after="120"/>
              <w:ind w:left="11"/>
              <w:rPr>
                <w:sz w:val="23"/>
              </w:rPr>
            </w:pPr>
            <w:r>
              <w:rPr>
                <w:rFonts w:hint="eastAsia" w:asciiTheme="minorEastAsia" w:hAnsiTheme="minorEastAsia" w:eastAsiaTheme="minorEastAsia"/>
                <w:sz w:val="23"/>
              </w:rPr>
              <w:t>不低于</w:t>
            </w:r>
            <w:r>
              <w:rPr>
                <w:rFonts w:eastAsia="Times New Roman"/>
                <w:sz w:val="23"/>
              </w:rPr>
              <w:t>40</w:t>
            </w:r>
            <w:r>
              <w:rPr>
                <w:sz w:val="23"/>
              </w:rPr>
              <w:t>×</w:t>
            </w:r>
            <w:r>
              <w:rPr>
                <w:rFonts w:eastAsia="Times New Roman"/>
                <w:sz w:val="23"/>
              </w:rPr>
              <w:t>128</w:t>
            </w:r>
            <w:r>
              <w:rPr>
                <w:rFonts w:eastAsia="Times New Roman"/>
                <w:spacing w:val="55"/>
                <w:sz w:val="23"/>
              </w:rPr>
              <w:t xml:space="preserve"> </w:t>
            </w:r>
            <w:r>
              <w:rPr>
                <w:spacing w:val="-20"/>
                <w:sz w:val="23"/>
              </w:rPr>
              <w:t xml:space="preserve">点阵 </w:t>
            </w:r>
            <w:r>
              <w:rPr>
                <w:rFonts w:eastAsia="Times New Roman"/>
                <w:sz w:val="23"/>
              </w:rPr>
              <w:t>LCD</w:t>
            </w:r>
            <w:r>
              <w:rPr>
                <w:rFonts w:eastAsia="Times New Roman"/>
                <w:spacing w:val="56"/>
                <w:sz w:val="23"/>
              </w:rPr>
              <w:t xml:space="preserve"> </w:t>
            </w:r>
            <w:r>
              <w:rPr>
                <w:sz w:val="23"/>
              </w:rPr>
              <w:t>全中文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726" w:type="dxa"/>
          </w:tcPr>
          <w:p>
            <w:pPr>
              <w:pStyle w:val="458"/>
              <w:spacing w:before="120" w:after="120"/>
              <w:ind w:left="10"/>
              <w:jc w:val="center"/>
            </w:pPr>
            <w:r>
              <w:rPr>
                <w:w w:val="99"/>
              </w:rPr>
              <w:t>5</w:t>
            </w:r>
          </w:p>
        </w:tc>
        <w:tc>
          <w:tcPr>
            <w:tcW w:w="8741" w:type="dxa"/>
            <w:gridSpan w:val="4"/>
          </w:tcPr>
          <w:p>
            <w:pPr>
              <w:pStyle w:val="458"/>
              <w:spacing w:before="120" w:after="120"/>
              <w:ind w:left="852"/>
              <w:rPr>
                <w:b/>
              </w:rPr>
            </w:pPr>
            <w:r>
              <w:rPr>
                <w:b/>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4" w:hRule="atLeast"/>
          <w:jc w:val="center"/>
        </w:trPr>
        <w:tc>
          <w:tcPr>
            <w:tcW w:w="726" w:type="dxa"/>
          </w:tcPr>
          <w:p>
            <w:pPr>
              <w:pStyle w:val="458"/>
              <w:spacing w:before="120" w:after="120"/>
              <w:ind w:left="191" w:right="181"/>
              <w:jc w:val="center"/>
            </w:pPr>
            <w:r>
              <w:t>5.1</w:t>
            </w:r>
          </w:p>
        </w:tc>
        <w:tc>
          <w:tcPr>
            <w:tcW w:w="2955" w:type="dxa"/>
            <w:gridSpan w:val="3"/>
          </w:tcPr>
          <w:p>
            <w:pPr>
              <w:pStyle w:val="458"/>
              <w:spacing w:before="120" w:after="120"/>
              <w:ind w:left="378" w:right="369"/>
              <w:jc w:val="center"/>
              <w:rPr>
                <w:sz w:val="23"/>
              </w:rPr>
            </w:pPr>
            <w:r>
              <w:rPr>
                <w:sz w:val="23"/>
              </w:rPr>
              <w:t>电源</w:t>
            </w:r>
          </w:p>
        </w:tc>
        <w:tc>
          <w:tcPr>
            <w:tcW w:w="5786" w:type="dxa"/>
          </w:tcPr>
          <w:p>
            <w:pPr>
              <w:pStyle w:val="458"/>
              <w:spacing w:before="120" w:after="120"/>
              <w:ind w:left="11"/>
              <w:rPr>
                <w:rFonts w:eastAsia="Times New Roman"/>
                <w:sz w:val="23"/>
              </w:rPr>
            </w:pPr>
            <w:r>
              <w:rPr>
                <w:rFonts w:eastAsia="Times New Roman"/>
                <w:sz w:val="23"/>
              </w:rPr>
              <w:t>AC</w:t>
            </w:r>
            <w:r>
              <w:rPr>
                <w:sz w:val="23"/>
              </w:rPr>
              <w:t>（</w:t>
            </w:r>
            <w:r>
              <w:rPr>
                <w:rFonts w:eastAsia="Times New Roman"/>
                <w:sz w:val="23"/>
              </w:rPr>
              <w:t>220</w:t>
            </w:r>
            <w:r>
              <w:rPr>
                <w:sz w:val="23"/>
              </w:rPr>
              <w:t>±</w:t>
            </w:r>
            <w:r>
              <w:rPr>
                <w:rFonts w:eastAsia="Times New Roman"/>
                <w:sz w:val="23"/>
              </w:rPr>
              <w:t>22</w:t>
            </w:r>
            <w:r>
              <w:rPr>
                <w:sz w:val="23"/>
              </w:rPr>
              <w:t>）</w:t>
            </w:r>
            <w:r>
              <w:rPr>
                <w:rFonts w:eastAsia="Times New Roman"/>
                <w:sz w:val="23"/>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1" w:type="dxa"/>
          <w:trHeight w:val="563" w:hRule="atLeast"/>
          <w:jc w:val="center"/>
        </w:trPr>
        <w:tc>
          <w:tcPr>
            <w:tcW w:w="726" w:type="dxa"/>
          </w:tcPr>
          <w:p>
            <w:pPr>
              <w:pStyle w:val="458"/>
              <w:spacing w:before="120" w:after="120"/>
              <w:ind w:left="10"/>
              <w:jc w:val="center"/>
            </w:pPr>
            <w:r>
              <w:rPr>
                <w:w w:val="99"/>
              </w:rPr>
              <w:t>6</w:t>
            </w:r>
          </w:p>
        </w:tc>
        <w:tc>
          <w:tcPr>
            <w:tcW w:w="2955" w:type="dxa"/>
            <w:gridSpan w:val="3"/>
          </w:tcPr>
          <w:p>
            <w:pPr>
              <w:pStyle w:val="458"/>
              <w:spacing w:before="120" w:after="120"/>
              <w:ind w:left="378" w:right="369"/>
              <w:jc w:val="center"/>
              <w:rPr>
                <w:sz w:val="23"/>
              </w:rPr>
            </w:pPr>
            <w:r>
              <w:rPr>
                <w:sz w:val="23"/>
              </w:rPr>
              <w:t>留样</w:t>
            </w:r>
          </w:p>
        </w:tc>
        <w:tc>
          <w:tcPr>
            <w:tcW w:w="5786" w:type="dxa"/>
          </w:tcPr>
          <w:p>
            <w:pPr>
              <w:pStyle w:val="458"/>
              <w:spacing w:before="120" w:after="120"/>
              <w:ind w:left="11"/>
              <w:rPr>
                <w:sz w:val="23"/>
              </w:rPr>
            </w:pPr>
            <w:r>
              <w:rPr>
                <w:sz w:val="23"/>
              </w:rPr>
              <w:t>外部开关量或串口输入时，启动一次触发留样</w:t>
            </w:r>
          </w:p>
        </w:tc>
      </w:tr>
    </w:tbl>
    <w:p>
      <w:pPr>
        <w:spacing w:before="156" w:after="156" w:line="400" w:lineRule="exact"/>
        <w:ind w:firstLine="442" w:firstLineChars="200"/>
        <w:rPr>
          <w:b/>
          <w:sz w:val="22"/>
          <w:szCs w:val="22"/>
        </w:rPr>
      </w:pPr>
      <w:r>
        <w:rPr>
          <w:rFonts w:hint="eastAsia"/>
          <w:b/>
          <w:sz w:val="22"/>
          <w:szCs w:val="22"/>
        </w:rPr>
        <w:t>备注：设备选型要求</w:t>
      </w:r>
    </w:p>
    <w:p>
      <w:pPr>
        <w:spacing w:before="156" w:after="156" w:line="400" w:lineRule="exact"/>
        <w:ind w:firstLine="440" w:firstLineChars="200"/>
        <w:rPr>
          <w:bCs/>
          <w:sz w:val="22"/>
          <w:szCs w:val="22"/>
        </w:rPr>
      </w:pPr>
      <w:r>
        <w:rPr>
          <w:rFonts w:hint="eastAsia"/>
          <w:bCs/>
          <w:sz w:val="22"/>
          <w:szCs w:val="22"/>
        </w:rPr>
        <w:t>（1）所投设备须是通过CCEP中国环保产品认证的自动监测设备；</w:t>
      </w:r>
    </w:p>
    <w:p>
      <w:pPr>
        <w:spacing w:before="156" w:after="156" w:line="400" w:lineRule="exact"/>
        <w:ind w:firstLine="440" w:firstLineChars="200"/>
        <w:rPr>
          <w:bCs/>
          <w:sz w:val="22"/>
          <w:szCs w:val="22"/>
        </w:rPr>
      </w:pPr>
      <w:r>
        <w:rPr>
          <w:rFonts w:hint="eastAsia"/>
          <w:bCs/>
          <w:sz w:val="22"/>
          <w:szCs w:val="22"/>
        </w:rPr>
        <w:t>（2）所投设备应符合环保部门动态管控要求，具备自动标样核查功能，并上传相关状态参数。</w:t>
      </w:r>
    </w:p>
    <w:p>
      <w:pPr>
        <w:widowControl w:val="0"/>
        <w:jc w:val="both"/>
        <w:rPr>
          <w:b/>
          <w:szCs w:val="21"/>
        </w:rPr>
      </w:pPr>
      <w:r>
        <w:rPr>
          <w:rFonts w:hint="eastAsia"/>
        </w:rPr>
        <w:t>三</w:t>
      </w:r>
      <w:r>
        <w:rPr>
          <w:rFonts w:hint="eastAsia"/>
          <w:b/>
          <w:szCs w:val="21"/>
        </w:rPr>
        <w:t>、</w:t>
      </w:r>
      <w:r>
        <w:rPr>
          <w:b/>
          <w:szCs w:val="21"/>
        </w:rPr>
        <w:t>售后服务</w:t>
      </w:r>
    </w:p>
    <w:p>
      <w:pPr>
        <w:spacing w:line="360" w:lineRule="auto"/>
        <w:ind w:firstLine="240" w:firstLineChars="100"/>
      </w:pP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pPr>
        <w:spacing w:line="360" w:lineRule="auto"/>
        <w:ind w:firstLine="240" w:firstLineChars="100"/>
        <w:rPr>
          <w:bCs/>
          <w:szCs w:val="21"/>
        </w:rPr>
      </w:pPr>
      <w:r>
        <w:rPr>
          <w:rFonts w:hint="eastAsia"/>
          <w:bCs/>
          <w:szCs w:val="21"/>
        </w:rPr>
        <w:t>2、付款方式：合同签署后，全部货物安装完成并验收合格，完成入库手续后（如需要），支付合同总额的</w:t>
      </w:r>
      <w:r>
        <w:rPr>
          <w:bCs/>
          <w:szCs w:val="21"/>
        </w:rPr>
        <w:t>90</w:t>
      </w:r>
      <w:r>
        <w:rPr>
          <w:rFonts w:hint="eastAsia"/>
          <w:bCs/>
          <w:szCs w:val="21"/>
        </w:rPr>
        <w:t>%。壹年期满（壹年期为全部货物安装完成且验收合格之日起12个月）无质量问题后，一次付清1</w:t>
      </w:r>
      <w:r>
        <w:rPr>
          <w:bCs/>
          <w:szCs w:val="21"/>
        </w:rPr>
        <w:t>0</w:t>
      </w:r>
      <w:r>
        <w:rPr>
          <w:rFonts w:hint="eastAsia"/>
          <w:bCs/>
          <w:szCs w:val="21"/>
        </w:rPr>
        <w:t>%余款。</w:t>
      </w:r>
    </w:p>
    <w:p>
      <w:pPr>
        <w:spacing w:line="360" w:lineRule="auto"/>
        <w:ind w:firstLine="240" w:firstLineChars="100"/>
        <w:rPr>
          <w:bCs/>
          <w:szCs w:val="21"/>
        </w:rPr>
      </w:pPr>
      <w:r>
        <w:rPr>
          <w:rFonts w:hint="eastAsia"/>
          <w:bCs/>
          <w:szCs w:val="21"/>
        </w:rPr>
        <w:t>3、质保期：设备验收合格后整机原厂质保不少于</w:t>
      </w:r>
      <w:r>
        <w:rPr>
          <w:bCs/>
          <w:szCs w:val="21"/>
        </w:rPr>
        <w:t>2</w:t>
      </w:r>
      <w:r>
        <w:rPr>
          <w:rFonts w:hint="eastAsia"/>
          <w:bCs/>
          <w:szCs w:val="21"/>
        </w:rPr>
        <w:t>年</w:t>
      </w:r>
      <w:r>
        <w:rPr>
          <w:bCs/>
          <w:szCs w:val="21"/>
        </w:rPr>
        <w:t xml:space="preserve">, </w:t>
      </w:r>
      <w:r>
        <w:rPr>
          <w:rFonts w:hint="eastAsia"/>
          <w:bCs/>
          <w:szCs w:val="21"/>
        </w:rPr>
        <w:t>质保期外提供</w:t>
      </w:r>
      <w:r>
        <w:rPr>
          <w:bCs/>
          <w:szCs w:val="21"/>
        </w:rPr>
        <w:t>终身维修</w:t>
      </w:r>
      <w:r>
        <w:rPr>
          <w:rFonts w:hint="eastAsia"/>
          <w:bCs/>
          <w:szCs w:val="21"/>
        </w:rPr>
        <w:t>服务，软件终身免费升级。</w:t>
      </w:r>
    </w:p>
    <w:p>
      <w:pPr>
        <w:spacing w:line="360" w:lineRule="auto"/>
        <w:ind w:firstLine="240" w:firstLineChars="100"/>
        <w:rPr>
          <w:bCs/>
          <w:szCs w:val="21"/>
        </w:rPr>
      </w:pP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pPr>
        <w:spacing w:line="360" w:lineRule="auto"/>
        <w:rPr>
          <w:bCs/>
          <w:szCs w:val="21"/>
        </w:rPr>
      </w:pPr>
      <w:r>
        <w:rPr>
          <w:bCs/>
          <w:szCs w:val="21"/>
        </w:rPr>
        <w:t>5</w:t>
      </w:r>
      <w:r>
        <w:rPr>
          <w:rFonts w:hint="eastAsia"/>
          <w:bCs/>
          <w:szCs w:val="21"/>
        </w:rPr>
        <w:t>、维修保证：</w:t>
      </w:r>
    </w:p>
    <w:p>
      <w:pPr>
        <w:spacing w:line="360" w:lineRule="auto"/>
        <w:rPr>
          <w:bCs/>
          <w:szCs w:val="21"/>
        </w:rPr>
      </w:pPr>
      <w:r>
        <w:rPr>
          <w:rFonts w:hint="eastAsia"/>
          <w:bCs/>
          <w:szCs w:val="21"/>
        </w:rPr>
        <w:t>（1）维修响应时间：供应商</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pPr>
        <w:spacing w:line="360" w:lineRule="auto"/>
        <w:rPr>
          <w:bCs/>
          <w:szCs w:val="21"/>
        </w:rPr>
      </w:pPr>
      <w:r>
        <w:rPr>
          <w:rFonts w:hint="eastAsia"/>
          <w:bCs/>
          <w:szCs w:val="21"/>
        </w:rPr>
        <w:t>（3）维修配件的更换：要求为原厂配件，如需更换配件，需采购人单位签字确认。供应商所提供的备件必须是原厂的合格零备件，零备件具有原厂出库单/报关单等证明文件。</w:t>
      </w:r>
    </w:p>
    <w:p>
      <w:pPr>
        <w:spacing w:line="360" w:lineRule="auto"/>
        <w:rPr>
          <w:bCs/>
          <w:szCs w:val="21"/>
        </w:rPr>
      </w:pPr>
      <w:r>
        <w:rPr>
          <w:bCs/>
          <w:szCs w:val="21"/>
        </w:rPr>
        <w:t>6</w:t>
      </w:r>
      <w:r>
        <w:rPr>
          <w:rFonts w:hint="eastAsia"/>
          <w:bCs/>
          <w:szCs w:val="21"/>
        </w:rPr>
        <w:t>、质保期内保养：</w:t>
      </w:r>
    </w:p>
    <w:p>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pPr>
        <w:spacing w:line="360" w:lineRule="auto"/>
        <w:rPr>
          <w:bCs/>
          <w:szCs w:val="21"/>
        </w:rPr>
      </w:pPr>
      <w:r>
        <w:rPr>
          <w:rFonts w:hint="eastAsia"/>
          <w:bCs/>
          <w:szCs w:val="21"/>
        </w:rPr>
        <w:t>2）可对我院工程技术人员进行培训，以便及时处理简单故障保证设备正常使用。</w:t>
      </w:r>
    </w:p>
    <w:p>
      <w:pPr>
        <w:spacing w:line="360" w:lineRule="auto"/>
        <w:rPr>
          <w:bCs/>
          <w:szCs w:val="21"/>
        </w:rPr>
      </w:pPr>
      <w:r>
        <w:rPr>
          <w:rFonts w:hint="eastAsia"/>
          <w:bCs/>
          <w:szCs w:val="21"/>
        </w:rPr>
        <w:t>3）保修期内提供不限次数现场维修，免费更换所含备件及耗材。</w:t>
      </w:r>
    </w:p>
    <w:p>
      <w:pPr>
        <w:spacing w:line="360" w:lineRule="auto"/>
        <w:rPr>
          <w:bCs/>
          <w:szCs w:val="21"/>
        </w:rPr>
      </w:pPr>
      <w:r>
        <w:rPr>
          <w:bCs/>
          <w:szCs w:val="21"/>
        </w:rPr>
        <w:t>7</w:t>
      </w:r>
      <w:r>
        <w:rPr>
          <w:rFonts w:hint="eastAsia"/>
          <w:bCs/>
          <w:szCs w:val="21"/>
        </w:rPr>
        <w:t>、免费提供设备的系统软件及硬件的安全性改版升级和技术支持。</w:t>
      </w:r>
    </w:p>
    <w:p>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pPr>
        <w:spacing w:line="360" w:lineRule="auto"/>
        <w:rPr>
          <w:szCs w:val="21"/>
        </w:rPr>
      </w:pPr>
      <w:r>
        <w:rPr>
          <w:szCs w:val="21"/>
        </w:rPr>
        <w:t>12</w:t>
      </w:r>
      <w:r>
        <w:rPr>
          <w:rFonts w:hint="eastAsia"/>
          <w:szCs w:val="21"/>
        </w:rPr>
        <w:t>、如果采购人需要，供应商应当承诺：</w:t>
      </w:r>
    </w:p>
    <w:p>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pPr>
        <w:spacing w:line="360" w:lineRule="auto"/>
        <w:rPr>
          <w:szCs w:val="21"/>
        </w:rPr>
      </w:pPr>
      <w:r>
        <w:rPr>
          <w:rFonts w:hint="eastAsia"/>
          <w:szCs w:val="21"/>
        </w:rPr>
        <w:t>（2）如果接入第三方系统产生费用，该费用由中标人承担</w:t>
      </w: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rFonts w:hint="eastAsia"/>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bCs/>
          <w:kern w:val="2"/>
          <w:sz w:val="21"/>
          <w:szCs w:val="21"/>
        </w:rPr>
      </w:pPr>
      <w:r>
        <w:rPr>
          <w:rFonts w:hint="eastAsia" w:ascii="Arial" w:hAnsi="Arial" w:cs="Arial"/>
          <w:color w:val="000000"/>
          <w:sz w:val="28"/>
          <w:szCs w:val="28"/>
        </w:rPr>
        <w:t>附件一：</w:t>
      </w:r>
    </w:p>
    <w:p>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tabs>
                <w:tab w:val="left" w:pos="5760"/>
              </w:tabs>
              <w:spacing w:line="360" w:lineRule="auto"/>
              <w:rPr>
                <w:rFonts w:ascii="Arial" w:hAnsi="Arial" w:cs="Arial"/>
                <w:color w:val="000000"/>
              </w:rPr>
            </w:pPr>
          </w:p>
        </w:tc>
        <w:tc>
          <w:tcPr>
            <w:tcW w:w="2031" w:type="dxa"/>
          </w:tcPr>
          <w:p>
            <w:pPr>
              <w:tabs>
                <w:tab w:val="left" w:pos="5760"/>
              </w:tabs>
              <w:spacing w:line="360" w:lineRule="auto"/>
              <w:rPr>
                <w:rFonts w:ascii="Arial" w:hAnsi="Arial" w:cs="Arial"/>
                <w:color w:val="000000"/>
              </w:rPr>
            </w:pPr>
          </w:p>
        </w:tc>
        <w:tc>
          <w:tcPr>
            <w:tcW w:w="1229" w:type="dxa"/>
          </w:tcPr>
          <w:p>
            <w:pPr>
              <w:tabs>
                <w:tab w:val="left" w:pos="5760"/>
              </w:tabs>
              <w:spacing w:line="360" w:lineRule="auto"/>
              <w:rPr>
                <w:rFonts w:ascii="Arial" w:hAnsi="Arial" w:cs="Arial"/>
                <w:color w:val="000000"/>
              </w:rPr>
            </w:pPr>
          </w:p>
        </w:tc>
        <w:tc>
          <w:tcPr>
            <w:tcW w:w="851" w:type="dxa"/>
          </w:tcPr>
          <w:p>
            <w:pPr>
              <w:tabs>
                <w:tab w:val="left" w:pos="5760"/>
              </w:tabs>
              <w:spacing w:line="360" w:lineRule="auto"/>
              <w:rPr>
                <w:rFonts w:ascii="Arial" w:hAnsi="Arial" w:cs="Arial"/>
                <w:color w:val="000000"/>
              </w:rPr>
            </w:pPr>
          </w:p>
        </w:tc>
        <w:tc>
          <w:tcPr>
            <w:tcW w:w="850" w:type="dxa"/>
          </w:tcPr>
          <w:p>
            <w:pPr>
              <w:tabs>
                <w:tab w:val="left" w:pos="5760"/>
              </w:tabs>
              <w:spacing w:line="360" w:lineRule="auto"/>
              <w:rPr>
                <w:rFonts w:ascii="Arial" w:hAnsi="Arial" w:cs="Arial"/>
                <w:color w:val="000000"/>
              </w:rPr>
            </w:pPr>
          </w:p>
        </w:tc>
        <w:tc>
          <w:tcPr>
            <w:tcW w:w="1134" w:type="dxa"/>
          </w:tcPr>
          <w:p>
            <w:pPr>
              <w:tabs>
                <w:tab w:val="left" w:pos="5760"/>
              </w:tabs>
              <w:spacing w:line="360" w:lineRule="auto"/>
              <w:rPr>
                <w:rFonts w:ascii="Arial" w:hAnsi="Arial" w:cs="Arial"/>
                <w:color w:val="000000"/>
              </w:rPr>
            </w:pPr>
          </w:p>
        </w:tc>
        <w:tc>
          <w:tcPr>
            <w:tcW w:w="3056" w:type="dxa"/>
          </w:tcPr>
          <w:p>
            <w:pPr>
              <w:tabs>
                <w:tab w:val="left" w:pos="5760"/>
              </w:tabs>
              <w:spacing w:line="360" w:lineRule="auto"/>
              <w:rPr>
                <w:rFonts w:ascii="Arial" w:hAnsi="Arial" w:cs="Arial"/>
                <w:color w:val="000000"/>
              </w:rPr>
            </w:pPr>
          </w:p>
        </w:tc>
      </w:tr>
    </w:tbl>
    <w:p>
      <w:pPr>
        <w:tabs>
          <w:tab w:val="left" w:pos="5760"/>
        </w:tabs>
        <w:spacing w:line="360" w:lineRule="auto"/>
        <w:rPr>
          <w:rFonts w:ascii="Arial" w:hAnsi="Arial" w:cs="Arial"/>
          <w:color w:val="000000"/>
        </w:rPr>
      </w:pPr>
    </w:p>
    <w:p>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附件二：</w:t>
      </w:r>
    </w:p>
    <w:p>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5760"/>
              </w:tabs>
              <w:spacing w:line="360" w:lineRule="auto"/>
              <w:jc w:val="center"/>
              <w:rPr>
                <w:rFonts w:ascii="Arial" w:hAnsi="Arial" w:cs="Arial"/>
                <w:color w:val="000000"/>
                <w:szCs w:val="21"/>
              </w:rPr>
            </w:pPr>
          </w:p>
        </w:tc>
        <w:tc>
          <w:tcPr>
            <w:tcW w:w="163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5"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c>
          <w:tcPr>
            <w:tcW w:w="1156" w:type="dxa"/>
          </w:tcPr>
          <w:p>
            <w:pPr>
              <w:tabs>
                <w:tab w:val="left" w:pos="5760"/>
              </w:tabs>
              <w:spacing w:line="360" w:lineRule="auto"/>
              <w:jc w:val="center"/>
              <w:rPr>
                <w:rFonts w:ascii="Arial" w:hAnsi="Arial" w:cs="Arial"/>
                <w:color w:val="000000"/>
                <w:szCs w:val="21"/>
              </w:rPr>
            </w:pPr>
          </w:p>
        </w:tc>
      </w:tr>
    </w:tbl>
    <w:p>
      <w:pPr>
        <w:autoSpaceDE w:val="0"/>
        <w:autoSpaceDN w:val="0"/>
        <w:adjustRightInd w:val="0"/>
        <w:spacing w:line="240" w:lineRule="atLeast"/>
        <w:outlineLvl w:val="0"/>
        <w:rPr>
          <w:b/>
          <w:bCs/>
          <w:sz w:val="32"/>
          <w:szCs w:val="32"/>
        </w:rPr>
      </w:pPr>
    </w:p>
    <w:p>
      <w:pPr>
        <w:autoSpaceDE w:val="0"/>
        <w:autoSpaceDN w:val="0"/>
        <w:adjustRightInd w:val="0"/>
        <w:spacing w:line="240" w:lineRule="atLeast"/>
        <w:ind w:left="560"/>
        <w:jc w:val="center"/>
        <w:outlineLvl w:val="0"/>
        <w:rPr>
          <w:b/>
          <w:bCs/>
          <w:sz w:val="32"/>
          <w:szCs w:val="32"/>
        </w:rPr>
      </w:pPr>
    </w:p>
    <w:p>
      <w:pPr>
        <w:autoSpaceDE w:val="0"/>
        <w:autoSpaceDN w:val="0"/>
        <w:adjustRightInd w:val="0"/>
        <w:spacing w:line="240" w:lineRule="atLeast"/>
        <w:ind w:left="560"/>
        <w:jc w:val="center"/>
        <w:outlineLvl w:val="0"/>
        <w:rPr>
          <w:b/>
          <w:bCs/>
          <w:sz w:val="32"/>
          <w:szCs w:val="32"/>
        </w:rPr>
      </w:pPr>
    </w:p>
    <w:p>
      <w:pPr>
        <w:spacing w:line="360" w:lineRule="auto"/>
        <w:rPr>
          <w:rFonts w:asciiTheme="minorEastAsia" w:hAnsiTheme="minorEastAsia" w:cstheme="minorEastAsia"/>
          <w:b/>
          <w:lang w:eastAsia="zh-Hans"/>
        </w:rPr>
        <w:sectPr>
          <w:pgSz w:w="12240" w:h="15840"/>
          <w:pgMar w:top="1134"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0" w:type="auto"/>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pPr>
              <w:snapToGrid w:val="0"/>
              <w:spacing w:line="360" w:lineRule="auto"/>
              <w:rPr>
                <w:rFonts w:cs="Verdana"/>
                <w:szCs w:val="21"/>
                <w:lang w:val="zh-CN"/>
              </w:rPr>
            </w:pPr>
            <w:r>
              <w:rPr>
                <w:rFonts w:hint="eastAsia" w:cs="Verdana"/>
                <w:szCs w:val="21"/>
                <w:lang w:val="zh-CN"/>
              </w:rPr>
              <w:t>有       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pPr>
              <w:snapToGrid w:val="0"/>
              <w:spacing w:line="360" w:lineRule="auto"/>
              <w:rPr>
                <w:color w:val="000000"/>
                <w:szCs w:val="21"/>
                <w:lang w:val="zh-CN"/>
              </w:rPr>
            </w:pPr>
            <w:r>
              <w:rPr>
                <w:rFonts w:hint="eastAsia"/>
                <w:color w:val="000000"/>
                <w:szCs w:val="21"/>
                <w:lang w:val="zh-CN"/>
              </w:rPr>
              <w:t>是       否</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pPr>
        <w:adjustRightInd w:val="0"/>
        <w:spacing w:line="360" w:lineRule="auto"/>
        <w:ind w:firstLine="480" w:firstLineChars="200"/>
        <w:rPr>
          <w:rFonts w:ascii="黑体" w:eastAsia="黑体"/>
          <w:b/>
          <w:color w:val="000000"/>
          <w:sz w:val="36"/>
          <w:szCs w:val="36"/>
          <w:lang w:val="zh-CN"/>
        </w:rPr>
      </w:pPr>
      <w:r>
        <w:rPr>
          <w:rFonts w:hint="eastAsia" w:cs="Verdana"/>
          <w:szCs w:val="21"/>
        </w:rPr>
        <w:t>2</w:t>
      </w:r>
      <w:r>
        <w:rPr>
          <w:rFonts w:hint="eastAsia" w:cs="Verdana"/>
          <w:szCs w:val="21"/>
          <w:lang w:val="zh-CN"/>
        </w:rPr>
        <w:t>、在“供应商是否属于小和微型企业”栏后“是”或“否”上打“√”。</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pPr>
        <w:snapToGrid w:val="0"/>
        <w:spacing w:before="50" w:after="50"/>
        <w:ind w:firstLine="275" w:firstLineChars="98"/>
        <w:rPr>
          <w:b/>
          <w:bCs/>
          <w:sz w:val="28"/>
          <w:szCs w:val="28"/>
        </w:rPr>
      </w:pP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3715"/>
    <w:rsid w:val="00011D85"/>
    <w:rsid w:val="00020AED"/>
    <w:rsid w:val="00042F47"/>
    <w:rsid w:val="00046CD9"/>
    <w:rsid w:val="00054A87"/>
    <w:rsid w:val="00056588"/>
    <w:rsid w:val="00063596"/>
    <w:rsid w:val="0007782D"/>
    <w:rsid w:val="000941DE"/>
    <w:rsid w:val="000956F6"/>
    <w:rsid w:val="00097932"/>
    <w:rsid w:val="000A6812"/>
    <w:rsid w:val="000B1CA3"/>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B6711"/>
    <w:rsid w:val="001C0769"/>
    <w:rsid w:val="001D27BC"/>
    <w:rsid w:val="001D2B95"/>
    <w:rsid w:val="001D3D92"/>
    <w:rsid w:val="001D4262"/>
    <w:rsid w:val="001D7870"/>
    <w:rsid w:val="001E4535"/>
    <w:rsid w:val="001F7C86"/>
    <w:rsid w:val="00222B63"/>
    <w:rsid w:val="00223CB9"/>
    <w:rsid w:val="00226CF1"/>
    <w:rsid w:val="0024245E"/>
    <w:rsid w:val="00265A7F"/>
    <w:rsid w:val="002665B0"/>
    <w:rsid w:val="0028440E"/>
    <w:rsid w:val="00285174"/>
    <w:rsid w:val="00293EBC"/>
    <w:rsid w:val="002A1985"/>
    <w:rsid w:val="002A4407"/>
    <w:rsid w:val="002A6628"/>
    <w:rsid w:val="002B3839"/>
    <w:rsid w:val="002B7667"/>
    <w:rsid w:val="002F54C3"/>
    <w:rsid w:val="00302A39"/>
    <w:rsid w:val="00302DEA"/>
    <w:rsid w:val="00310FD0"/>
    <w:rsid w:val="0031783B"/>
    <w:rsid w:val="00325412"/>
    <w:rsid w:val="00372364"/>
    <w:rsid w:val="003775FC"/>
    <w:rsid w:val="003830D6"/>
    <w:rsid w:val="00387325"/>
    <w:rsid w:val="003975FA"/>
    <w:rsid w:val="003B694D"/>
    <w:rsid w:val="003C139F"/>
    <w:rsid w:val="003E6B93"/>
    <w:rsid w:val="003F4C2D"/>
    <w:rsid w:val="003F5FCE"/>
    <w:rsid w:val="004125E2"/>
    <w:rsid w:val="00424554"/>
    <w:rsid w:val="00431246"/>
    <w:rsid w:val="00436556"/>
    <w:rsid w:val="00437306"/>
    <w:rsid w:val="00444118"/>
    <w:rsid w:val="004457FF"/>
    <w:rsid w:val="00451540"/>
    <w:rsid w:val="00452FE7"/>
    <w:rsid w:val="00462021"/>
    <w:rsid w:val="00463D66"/>
    <w:rsid w:val="00465C0C"/>
    <w:rsid w:val="00492CF1"/>
    <w:rsid w:val="004B3356"/>
    <w:rsid w:val="004D02C6"/>
    <w:rsid w:val="004E4984"/>
    <w:rsid w:val="004F2A9D"/>
    <w:rsid w:val="004F6971"/>
    <w:rsid w:val="00503109"/>
    <w:rsid w:val="00511102"/>
    <w:rsid w:val="00516ACE"/>
    <w:rsid w:val="00517019"/>
    <w:rsid w:val="0052365D"/>
    <w:rsid w:val="0052405C"/>
    <w:rsid w:val="0052687C"/>
    <w:rsid w:val="0052766F"/>
    <w:rsid w:val="005618C7"/>
    <w:rsid w:val="005912F7"/>
    <w:rsid w:val="0059251F"/>
    <w:rsid w:val="005B1D58"/>
    <w:rsid w:val="005B50CC"/>
    <w:rsid w:val="005C02B0"/>
    <w:rsid w:val="005D0FD6"/>
    <w:rsid w:val="005D48FD"/>
    <w:rsid w:val="005E58B2"/>
    <w:rsid w:val="005E60EE"/>
    <w:rsid w:val="00600AB1"/>
    <w:rsid w:val="006156DB"/>
    <w:rsid w:val="006162A4"/>
    <w:rsid w:val="0061774B"/>
    <w:rsid w:val="00622149"/>
    <w:rsid w:val="00660304"/>
    <w:rsid w:val="006612CE"/>
    <w:rsid w:val="00664103"/>
    <w:rsid w:val="0066588B"/>
    <w:rsid w:val="00671678"/>
    <w:rsid w:val="0069037B"/>
    <w:rsid w:val="006A6F06"/>
    <w:rsid w:val="006B031D"/>
    <w:rsid w:val="006B0537"/>
    <w:rsid w:val="006C4B44"/>
    <w:rsid w:val="006C526B"/>
    <w:rsid w:val="006C635F"/>
    <w:rsid w:val="006D65AC"/>
    <w:rsid w:val="006F415C"/>
    <w:rsid w:val="00706DE7"/>
    <w:rsid w:val="00710708"/>
    <w:rsid w:val="007109D1"/>
    <w:rsid w:val="00714FF7"/>
    <w:rsid w:val="00720A05"/>
    <w:rsid w:val="0074466D"/>
    <w:rsid w:val="00793720"/>
    <w:rsid w:val="00794A5E"/>
    <w:rsid w:val="007A0FA0"/>
    <w:rsid w:val="007A147B"/>
    <w:rsid w:val="007B181A"/>
    <w:rsid w:val="007C16FE"/>
    <w:rsid w:val="007C6F84"/>
    <w:rsid w:val="00812B40"/>
    <w:rsid w:val="0082132D"/>
    <w:rsid w:val="0082484B"/>
    <w:rsid w:val="00850E1F"/>
    <w:rsid w:val="00852340"/>
    <w:rsid w:val="0085442E"/>
    <w:rsid w:val="00854EDD"/>
    <w:rsid w:val="00863017"/>
    <w:rsid w:val="00864D9A"/>
    <w:rsid w:val="00871EA5"/>
    <w:rsid w:val="0088271C"/>
    <w:rsid w:val="008922BE"/>
    <w:rsid w:val="008A7315"/>
    <w:rsid w:val="008B122C"/>
    <w:rsid w:val="008B353E"/>
    <w:rsid w:val="008B384F"/>
    <w:rsid w:val="008B717C"/>
    <w:rsid w:val="008D6CEA"/>
    <w:rsid w:val="008E2810"/>
    <w:rsid w:val="008F1335"/>
    <w:rsid w:val="009036E5"/>
    <w:rsid w:val="00916E2C"/>
    <w:rsid w:val="00927822"/>
    <w:rsid w:val="00930196"/>
    <w:rsid w:val="00931DAC"/>
    <w:rsid w:val="009448FD"/>
    <w:rsid w:val="00975FB3"/>
    <w:rsid w:val="009771F3"/>
    <w:rsid w:val="00977723"/>
    <w:rsid w:val="00983FF9"/>
    <w:rsid w:val="009A0AE4"/>
    <w:rsid w:val="009A3A87"/>
    <w:rsid w:val="009C5D62"/>
    <w:rsid w:val="009D2AD3"/>
    <w:rsid w:val="009D40E8"/>
    <w:rsid w:val="009E3BD0"/>
    <w:rsid w:val="009E691C"/>
    <w:rsid w:val="009F3FF7"/>
    <w:rsid w:val="00A101E8"/>
    <w:rsid w:val="00A102F4"/>
    <w:rsid w:val="00A15C89"/>
    <w:rsid w:val="00A22805"/>
    <w:rsid w:val="00A23BC6"/>
    <w:rsid w:val="00A3208D"/>
    <w:rsid w:val="00A349F8"/>
    <w:rsid w:val="00A37452"/>
    <w:rsid w:val="00A37544"/>
    <w:rsid w:val="00A5684A"/>
    <w:rsid w:val="00A63D91"/>
    <w:rsid w:val="00A64429"/>
    <w:rsid w:val="00A73046"/>
    <w:rsid w:val="00A85D1E"/>
    <w:rsid w:val="00A97834"/>
    <w:rsid w:val="00AB20F3"/>
    <w:rsid w:val="00AB3906"/>
    <w:rsid w:val="00AB7DFC"/>
    <w:rsid w:val="00AD2480"/>
    <w:rsid w:val="00AD6584"/>
    <w:rsid w:val="00AE3AC2"/>
    <w:rsid w:val="00AE6B83"/>
    <w:rsid w:val="00AF0A09"/>
    <w:rsid w:val="00B05B0C"/>
    <w:rsid w:val="00B243D5"/>
    <w:rsid w:val="00B26569"/>
    <w:rsid w:val="00B26E5C"/>
    <w:rsid w:val="00B360C1"/>
    <w:rsid w:val="00B36D00"/>
    <w:rsid w:val="00B52F10"/>
    <w:rsid w:val="00B55B30"/>
    <w:rsid w:val="00B57213"/>
    <w:rsid w:val="00B609BC"/>
    <w:rsid w:val="00B653FC"/>
    <w:rsid w:val="00B76A1E"/>
    <w:rsid w:val="00B92CBE"/>
    <w:rsid w:val="00BA0850"/>
    <w:rsid w:val="00BA4957"/>
    <w:rsid w:val="00BA77F7"/>
    <w:rsid w:val="00BB0659"/>
    <w:rsid w:val="00BB0F7A"/>
    <w:rsid w:val="00BB2D38"/>
    <w:rsid w:val="00BC4792"/>
    <w:rsid w:val="00BC6F0B"/>
    <w:rsid w:val="00BD420C"/>
    <w:rsid w:val="00BD6A0A"/>
    <w:rsid w:val="00BF2C75"/>
    <w:rsid w:val="00BF6495"/>
    <w:rsid w:val="00BF74AA"/>
    <w:rsid w:val="00C075D2"/>
    <w:rsid w:val="00C24FAE"/>
    <w:rsid w:val="00C259F3"/>
    <w:rsid w:val="00C31D79"/>
    <w:rsid w:val="00C364E0"/>
    <w:rsid w:val="00C3729F"/>
    <w:rsid w:val="00C4257F"/>
    <w:rsid w:val="00C43D82"/>
    <w:rsid w:val="00C43EAE"/>
    <w:rsid w:val="00C5240B"/>
    <w:rsid w:val="00C5737C"/>
    <w:rsid w:val="00C752FC"/>
    <w:rsid w:val="00C801CD"/>
    <w:rsid w:val="00C86302"/>
    <w:rsid w:val="00C941B4"/>
    <w:rsid w:val="00C957F4"/>
    <w:rsid w:val="00CA6822"/>
    <w:rsid w:val="00CB13E0"/>
    <w:rsid w:val="00CB4A02"/>
    <w:rsid w:val="00CE7C10"/>
    <w:rsid w:val="00CF1A31"/>
    <w:rsid w:val="00CF3216"/>
    <w:rsid w:val="00CF4EA8"/>
    <w:rsid w:val="00D12F1D"/>
    <w:rsid w:val="00D1787B"/>
    <w:rsid w:val="00D36C8A"/>
    <w:rsid w:val="00D43636"/>
    <w:rsid w:val="00D616B5"/>
    <w:rsid w:val="00D76914"/>
    <w:rsid w:val="00D90989"/>
    <w:rsid w:val="00D93D97"/>
    <w:rsid w:val="00D95887"/>
    <w:rsid w:val="00DC7590"/>
    <w:rsid w:val="00DE4072"/>
    <w:rsid w:val="00DE65F1"/>
    <w:rsid w:val="00DE68D4"/>
    <w:rsid w:val="00DF5E60"/>
    <w:rsid w:val="00DF744A"/>
    <w:rsid w:val="00E00FB5"/>
    <w:rsid w:val="00E04560"/>
    <w:rsid w:val="00E07BB4"/>
    <w:rsid w:val="00E10B6E"/>
    <w:rsid w:val="00E110DD"/>
    <w:rsid w:val="00E46F6E"/>
    <w:rsid w:val="00E51AFB"/>
    <w:rsid w:val="00E549FD"/>
    <w:rsid w:val="00E771E5"/>
    <w:rsid w:val="00E8240E"/>
    <w:rsid w:val="00E85E39"/>
    <w:rsid w:val="00E90D32"/>
    <w:rsid w:val="00E92B80"/>
    <w:rsid w:val="00E97CF2"/>
    <w:rsid w:val="00EA721F"/>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7029B"/>
    <w:rsid w:val="00F80514"/>
    <w:rsid w:val="00F938CF"/>
    <w:rsid w:val="00F94AF9"/>
    <w:rsid w:val="00F96F2E"/>
    <w:rsid w:val="00FA4E69"/>
    <w:rsid w:val="00FB107F"/>
    <w:rsid w:val="00FB7BDA"/>
    <w:rsid w:val="00FC090C"/>
    <w:rsid w:val="00FD1576"/>
    <w:rsid w:val="00FD1A0F"/>
    <w:rsid w:val="00FF2237"/>
    <w:rsid w:val="00FF42B1"/>
    <w:rsid w:val="00FF5EB4"/>
    <w:rsid w:val="2640153E"/>
    <w:rsid w:val="312C70A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unhideWhenUsed="0" w:uiPriority="39" w:name="toc 2"/>
    <w:lsdException w:unhideWhenUsed="0" w:uiPriority="39" w:name="toc 3"/>
    <w:lsdException w:qFormat="1" w:unhideWhenUsed="0" w:uiPriority="39" w:name="toc 4"/>
    <w:lsdException w:qFormat="1" w:unhideWhenUsed="0" w:uiPriority="39" w:name="toc 5"/>
    <w:lsdException w:unhideWhenUsed="0" w:uiPriority="39" w:name="toc 6"/>
    <w:lsdException w:unhideWhenUsed="0" w:uiPriority="39" w:name="toc 7"/>
    <w:lsdException w:qFormat="1" w:unhideWhenUsed="0" w:uiPriority="39" w:name="toc 8"/>
    <w:lsdException w:qFormat="1" w:unhideWhenUsed="0" w:uiPriority="39" w:name="toc 9"/>
    <w:lsdException w:unhideWhenUsed="0" w:uiPriority="99" w:semiHidden="0" w:name="Normal Indent"/>
    <w:lsdException w:unhideWhenUsed="0" w:uiPriority="99" w:name="footnote text"/>
    <w:lsdException w:unhideWhenUsed="0" w:uiPriority="99" w:semiHidden="0" w:name="annotation text"/>
    <w:lsdException w:qFormat="1" w:uiPriority="99" w:semiHidden="0" w:name="header"/>
    <w:lsdException w:qFormat="1" w:uiPriority="99" w:semiHidden="0" w:name="footer"/>
    <w:lsdException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qFormat="1" w:unhideWhenUsed="0" w:uiPriority="99" w:name="footnote reference"/>
    <w:lsdException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qFormat="1"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qFormat="1" w:unhideWhenUsed="0" w:uiPriority="99" w:semiHidden="0" w:name="Body Text First Indent"/>
    <w:lsdException w:unhideWhenUsed="0" w:uiPriority="99" w:semiHidden="0" w:name="Body Text First Indent 2"/>
    <w:lsdException w:uiPriority="0" w:name="Note Heading"/>
    <w:lsdException w:qFormat="1" w:unhideWhenUsed="0" w:uiPriority="99" w:semiHidden="0" w:name="Body Text 2"/>
    <w:lsdException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nhideWhenUsed="0" w:uiPriority="99" w:semiHidden="0" w:name="HTML Sample"/>
    <w:lsdException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autoRedefine/>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uiPriority w:val="99"/>
    <w:pPr>
      <w:widowControl w:val="0"/>
    </w:pPr>
    <w:rPr>
      <w:rFonts w:ascii="Times New Roman" w:hAnsi="Times New Roman" w:cs="Times New Roman"/>
      <w:sz w:val="20"/>
      <w:szCs w:val="20"/>
    </w:rPr>
  </w:style>
  <w:style w:type="paragraph" w:styleId="18">
    <w:name w:val="Salutation"/>
    <w:basedOn w:val="1"/>
    <w:next w:val="1"/>
    <w:link w:val="177"/>
    <w:autoRedefine/>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semiHidden/>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uiPriority w:val="99"/>
    <w:pPr>
      <w:widowControl w:val="0"/>
      <w:snapToGrid w:val="0"/>
    </w:pPr>
    <w:rPr>
      <w:rFonts w:ascii="Times New Roman" w:hAnsi="Times New Roman" w:cs="Times New Roman"/>
      <w:sz w:val="18"/>
      <w:szCs w:val="18"/>
    </w:rPr>
  </w:style>
  <w:style w:type="paragraph" w:styleId="42">
    <w:name w:val="toc 6"/>
    <w:basedOn w:val="1"/>
    <w:next w:val="1"/>
    <w:semiHidden/>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autoRedefine/>
    <w:uiPriority w:val="0"/>
    <w:rPr>
      <w:sz w:val="21"/>
    </w:rPr>
  </w:style>
  <w:style w:type="character" w:styleId="67">
    <w:name w:val="footnote reference"/>
    <w:semiHidden/>
    <w:qFormat/>
    <w:uiPriority w:val="99"/>
    <w:rPr>
      <w:vertAlign w:val="superscript"/>
    </w:rPr>
  </w:style>
  <w:style w:type="character" w:styleId="68">
    <w:name w:val="HTML Sample"/>
    <w:autoRedefine/>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semiHidden/>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autoRedefine/>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uiPriority w:val="0"/>
    <w:rPr>
      <w:rFonts w:ascii="Arial" w:hAnsi="Arial" w:eastAsia="黑体"/>
      <w:b/>
      <w:kern w:val="2"/>
      <w:sz w:val="24"/>
    </w:rPr>
  </w:style>
  <w:style w:type="character" w:customStyle="1" w:styleId="124">
    <w:name w:val="正文缩进 Char1"/>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autoRedefine/>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uiPriority w:val="0"/>
    <w:rPr>
      <w:rFonts w:ascii="宋体" w:hAnsi="Courier New" w:eastAsia="宋体"/>
      <w:kern w:val="2"/>
      <w:sz w:val="21"/>
      <w:lang w:val="en-US" w:eastAsia="zh-CN"/>
    </w:rPr>
  </w:style>
  <w:style w:type="character" w:customStyle="1" w:styleId="149">
    <w:name w:val="样式 首行缩进:  2 字符 Char Char"/>
    <w:uiPriority w:val="0"/>
    <w:rPr>
      <w:rFonts w:eastAsia="宋体"/>
      <w:kern w:val="2"/>
      <w:sz w:val="24"/>
      <w:lang w:val="en-US" w:eastAsia="zh-CN"/>
    </w:rPr>
  </w:style>
  <w:style w:type="character" w:customStyle="1" w:styleId="150">
    <w:name w:val="Char Char34"/>
    <w:autoRedefine/>
    <w:uiPriority w:val="0"/>
    <w:rPr>
      <w:rFonts w:eastAsia="宋体"/>
      <w:b/>
      <w:kern w:val="44"/>
      <w:sz w:val="44"/>
      <w:lang w:val="en-US" w:eastAsia="zh-CN"/>
    </w:rPr>
  </w:style>
  <w:style w:type="character" w:customStyle="1" w:styleId="151">
    <w:name w:val="日期 字符"/>
    <w:link w:val="28"/>
    <w:locked/>
    <w:uiPriority w:val="99"/>
    <w:rPr>
      <w:rFonts w:ascii="Times New Roman" w:hAnsi="Times New Roman" w:cs="Times New Roman"/>
    </w:rPr>
  </w:style>
  <w:style w:type="character" w:customStyle="1" w:styleId="152">
    <w:name w:val="标题 字符"/>
    <w:link w:val="51"/>
    <w:locked/>
    <w:uiPriority w:val="10"/>
    <w:rPr>
      <w:rFonts w:ascii="Times New Roman" w:hAnsi="Times New Roman" w:eastAsia="黑体" w:cs="Times New Roman"/>
      <w:b/>
      <w:lang w:val="en-GB"/>
    </w:rPr>
  </w:style>
  <w:style w:type="character" w:customStyle="1" w:styleId="153">
    <w:name w:val="正文文本 3 字符"/>
    <w:link w:val="19"/>
    <w:autoRedefine/>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uiPriority w:val="0"/>
    <w:rPr>
      <w:sz w:val="24"/>
      <w:szCs w:val="24"/>
    </w:rPr>
  </w:style>
  <w:style w:type="character" w:customStyle="1" w:styleId="263">
    <w:name w:val="脚注文本 字符1"/>
    <w:basedOn w:val="57"/>
    <w:semiHidden/>
    <w:uiPriority w:val="0"/>
    <w:rPr>
      <w:sz w:val="18"/>
      <w:szCs w:val="18"/>
    </w:rPr>
  </w:style>
  <w:style w:type="paragraph" w:customStyle="1" w:styleId="264">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uiPriority w:val="0"/>
    <w:pPr>
      <w:widowControl w:val="0"/>
      <w:jc w:val="both"/>
    </w:pPr>
    <w:rPr>
      <w:rFonts w:ascii="Tahoma" w:hAnsi="Tahoma" w:cs="Tahoma"/>
      <w:kern w:val="2"/>
      <w:szCs w:val="20"/>
    </w:rPr>
  </w:style>
  <w:style w:type="character" w:customStyle="1" w:styleId="282">
    <w:name w:val="正文首行缩进 2 字符1"/>
    <w:basedOn w:val="262"/>
    <w:semiHidden/>
    <w:uiPriority w:val="0"/>
    <w:rPr>
      <w:sz w:val="24"/>
      <w:szCs w:val="24"/>
    </w:rPr>
  </w:style>
  <w:style w:type="paragraph" w:customStyle="1" w:styleId="283">
    <w:name w:val="小四 段落 宋体"/>
    <w:basedOn w:val="15"/>
    <w:autoRedefine/>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5">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uiPriority w:val="0"/>
    <w:pPr>
      <w:keepNext w:val="0"/>
      <w:keepLines w:val="0"/>
      <w:spacing w:before="0" w:after="0" w:line="360" w:lineRule="auto"/>
    </w:pPr>
    <w:rPr>
      <w:rFonts w:eastAsia="仿宋_GB2312"/>
      <w:b w:val="0"/>
      <w:sz w:val="30"/>
    </w:rPr>
  </w:style>
  <w:style w:type="paragraph" w:customStyle="1" w:styleId="287">
    <w:name w:val="greytypebeni"/>
    <w:basedOn w:val="1"/>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uiPriority w:val="0"/>
    <w:pPr>
      <w:spacing w:before="100" w:beforeAutospacing="1" w:after="100" w:afterAutospacing="1"/>
    </w:pPr>
    <w:rPr>
      <w:rFonts w:ascii="楷体_GB2312" w:eastAsia="楷体_GB2312"/>
      <w:b/>
      <w:bCs/>
      <w:sz w:val="18"/>
      <w:szCs w:val="18"/>
    </w:rPr>
  </w:style>
  <w:style w:type="paragraph" w:customStyle="1" w:styleId="29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uiPriority w:val="0"/>
    <w:pPr>
      <w:spacing w:before="100" w:beforeAutospacing="1" w:after="100" w:afterAutospacing="1"/>
    </w:pPr>
    <w:rPr>
      <w:rFonts w:cs="Times New Roman"/>
      <w:szCs w:val="20"/>
    </w:rPr>
  </w:style>
  <w:style w:type="paragraph" w:customStyle="1" w:styleId="312">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uiPriority w:val="0"/>
    <w:rPr>
      <w:sz w:val="18"/>
      <w:szCs w:val="18"/>
    </w:rPr>
  </w:style>
  <w:style w:type="paragraph" w:customStyle="1" w:styleId="315">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uiPriority w:val="0"/>
    <w:rPr>
      <w:b/>
      <w:bCs/>
      <w:sz w:val="24"/>
      <w:szCs w:val="24"/>
    </w:rPr>
  </w:style>
  <w:style w:type="paragraph" w:customStyle="1" w:styleId="321">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uiPriority w:val="0"/>
    <w:pPr>
      <w:spacing w:before="100" w:beforeAutospacing="1" w:after="100" w:afterAutospacing="1"/>
    </w:pPr>
    <w:rPr>
      <w:rFonts w:cs="Times New Roman"/>
    </w:rPr>
  </w:style>
  <w:style w:type="paragraph" w:customStyle="1" w:styleId="323">
    <w:name w:val="标题 4宋体"/>
    <w:basedOn w:val="5"/>
    <w:autoRedefine/>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uiPriority w:val="0"/>
    <w:rPr>
      <w:sz w:val="16"/>
      <w:szCs w:val="16"/>
    </w:rPr>
  </w:style>
  <w:style w:type="paragraph" w:customStyle="1" w:styleId="326">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uiPriority w:val="0"/>
    <w:rPr>
      <w:sz w:val="24"/>
      <w:szCs w:val="24"/>
    </w:rPr>
  </w:style>
  <w:style w:type="paragraph" w:customStyle="1" w:styleId="341">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uiPriority w:val="0"/>
    <w:pPr>
      <w:widowControl w:val="0"/>
      <w:spacing w:line="360" w:lineRule="auto"/>
      <w:jc w:val="both"/>
    </w:pPr>
    <w:rPr>
      <w:rFonts w:ascii="Times New Roman" w:hAnsi="Times New Roman" w:cs="Times New Roman"/>
      <w:kern w:val="2"/>
    </w:rPr>
  </w:style>
  <w:style w:type="paragraph" w:customStyle="1" w:styleId="34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uiPriority w:val="0"/>
    <w:pPr>
      <w:widowControl w:val="0"/>
      <w:jc w:val="both"/>
    </w:pPr>
    <w:rPr>
      <w:rFonts w:ascii="Tahoma" w:hAnsi="Tahoma" w:cs="Tahoma"/>
      <w:kern w:val="2"/>
      <w:szCs w:val="20"/>
    </w:rPr>
  </w:style>
  <w:style w:type="paragraph" w:customStyle="1" w:styleId="348">
    <w:name w:val="Char Char Char Char"/>
    <w:basedOn w:val="16"/>
    <w:uiPriority w:val="0"/>
    <w:pPr>
      <w:adjustRightInd w:val="0"/>
      <w:snapToGrid w:val="0"/>
      <w:spacing w:line="360" w:lineRule="auto"/>
    </w:pPr>
    <w:rPr>
      <w:rFonts w:ascii="Tahoma" w:hAnsi="Tahoma"/>
    </w:rPr>
  </w:style>
  <w:style w:type="paragraph" w:customStyle="1" w:styleId="349">
    <w:name w:val="样式3"/>
    <w:basedOn w:val="1"/>
    <w:next w:val="1"/>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uiPriority w:val="0"/>
    <w:pPr>
      <w:widowControl w:val="0"/>
      <w:jc w:val="both"/>
    </w:pPr>
    <w:rPr>
      <w:rFonts w:ascii="Tahoma" w:hAnsi="Tahoma" w:cs="Times New Roman"/>
      <w:kern w:val="2"/>
      <w:szCs w:val="20"/>
    </w:rPr>
  </w:style>
  <w:style w:type="paragraph" w:customStyle="1" w:styleId="352">
    <w:name w:val="表蕊"/>
    <w:basedOn w:val="1"/>
    <w:autoRedefine/>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uiPriority w:val="0"/>
    <w:pPr>
      <w:widowControl w:val="0"/>
      <w:jc w:val="both"/>
    </w:pPr>
    <w:rPr>
      <w:rFonts w:ascii="Tahoma" w:hAnsi="Tahoma" w:cs="Tahoma"/>
      <w:kern w:val="2"/>
      <w:szCs w:val="20"/>
    </w:rPr>
  </w:style>
  <w:style w:type="paragraph" w:customStyle="1" w:styleId="358">
    <w:name w:val="二级条标题"/>
    <w:basedOn w:val="1"/>
    <w:next w:val="261"/>
    <w:autoRedefine/>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uiPriority w:val="0"/>
    <w:pPr>
      <w:widowControl w:val="0"/>
      <w:jc w:val="both"/>
    </w:pPr>
    <w:rPr>
      <w:rFonts w:ascii="Tahoma" w:hAnsi="Tahoma" w:cs="Tahoma"/>
      <w:kern w:val="2"/>
      <w:szCs w:val="20"/>
    </w:rPr>
  </w:style>
  <w:style w:type="paragraph" w:customStyle="1" w:styleId="360">
    <w:name w:val="flType"/>
    <w:basedOn w:val="361"/>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uiPriority w:val="0"/>
    <w:pPr>
      <w:widowControl w:val="0"/>
      <w:spacing w:line="360" w:lineRule="auto"/>
      <w:ind w:left="200" w:leftChars="200"/>
      <w:jc w:val="both"/>
    </w:pPr>
    <w:rPr>
      <w:rFonts w:cs="Times New Roman"/>
      <w:b/>
      <w:kern w:val="2"/>
    </w:rPr>
  </w:style>
  <w:style w:type="paragraph" w:customStyle="1" w:styleId="376">
    <w:name w:val="大标题"/>
    <w:basedOn w:val="1"/>
    <w:next w:val="1"/>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uiPriority w:val="0"/>
    <w:pPr>
      <w:widowControl w:val="0"/>
      <w:spacing w:after="120"/>
      <w:jc w:val="both"/>
    </w:pPr>
    <w:rPr>
      <w:rFonts w:hAnsi="Arial" w:cs="Times New Roman"/>
      <w:bCs/>
      <w:iCs/>
      <w:kern w:val="2"/>
      <w:sz w:val="21"/>
    </w:rPr>
  </w:style>
  <w:style w:type="paragraph" w:customStyle="1" w:styleId="378">
    <w:name w:val="样式 首行缩进:  2 字符"/>
    <w:basedOn w:val="1"/>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1">
    <w:name w:val="content_lineheight"/>
    <w:basedOn w:val="1"/>
    <w:uiPriority w:val="0"/>
    <w:pPr>
      <w:spacing w:before="100" w:beforeAutospacing="1" w:after="100" w:afterAutospacing="1"/>
    </w:pPr>
    <w:rPr>
      <w:rFonts w:cs="Times New Roman"/>
    </w:rPr>
  </w:style>
  <w:style w:type="paragraph" w:customStyle="1" w:styleId="382">
    <w:name w:val="我的正文"/>
    <w:basedOn w:val="1"/>
    <w:uiPriority w:val="0"/>
    <w:pPr>
      <w:spacing w:line="360" w:lineRule="auto"/>
      <w:ind w:firstLine="420"/>
    </w:pPr>
    <w:rPr>
      <w:sz w:val="21"/>
      <w:szCs w:val="21"/>
    </w:rPr>
  </w:style>
  <w:style w:type="paragraph" w:customStyle="1" w:styleId="383">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uiPriority w:val="0"/>
    <w:pPr>
      <w:widowControl w:val="0"/>
      <w:jc w:val="both"/>
    </w:pPr>
    <w:rPr>
      <w:rFonts w:ascii="Tahoma" w:hAnsi="Tahoma" w:cs="Times New Roman"/>
      <w:kern w:val="2"/>
      <w:szCs w:val="20"/>
    </w:rPr>
  </w:style>
  <w:style w:type="paragraph" w:customStyle="1" w:styleId="387">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uiPriority w:val="0"/>
    <w:rPr>
      <w:rFonts w:ascii="Times New Roman" w:hAnsi="Times New Roman" w:cs="Times New Roman"/>
      <w:sz w:val="20"/>
      <w:szCs w:val="20"/>
      <w:lang w:val="de-DE" w:eastAsia="de-DE"/>
    </w:rPr>
  </w:style>
  <w:style w:type="paragraph" w:customStyle="1" w:styleId="404">
    <w:name w:val="列出段落21"/>
    <w:basedOn w:val="1"/>
    <w:uiPriority w:val="0"/>
    <w:pPr>
      <w:ind w:left="720"/>
    </w:pPr>
    <w:rPr>
      <w:rFonts w:ascii="Arial" w:hAnsi="Arial" w:eastAsia="黑体" w:cs="Arial"/>
      <w:lang w:eastAsia="en-US"/>
    </w:rPr>
  </w:style>
  <w:style w:type="paragraph" w:customStyle="1" w:styleId="405">
    <w:name w:val="xl25"/>
    <w:basedOn w:val="1"/>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uiPriority w:val="0"/>
    <w:pPr>
      <w:widowControl w:val="0"/>
      <w:jc w:val="both"/>
    </w:pPr>
    <w:rPr>
      <w:rFonts w:ascii="仿宋_GB2312" w:eastAsia="仿宋_GB2312"/>
      <w:b/>
      <w:kern w:val="2"/>
      <w:sz w:val="32"/>
      <w:szCs w:val="32"/>
    </w:rPr>
  </w:style>
  <w:style w:type="paragraph" w:customStyle="1" w:styleId="410">
    <w:name w:val="普通正文"/>
    <w:basedOn w:val="1"/>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uiPriority w:val="0"/>
    <w:pPr>
      <w:ind w:right="-134" w:rightChars="-64"/>
    </w:pPr>
    <w:rPr>
      <w:bCs w:val="0"/>
    </w:rPr>
  </w:style>
  <w:style w:type="paragraph" w:customStyle="1" w:styleId="413">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uiPriority w:val="0"/>
    <w:pPr>
      <w:widowControl w:val="0"/>
      <w:ind w:firstLine="200" w:firstLineChars="200"/>
    </w:pPr>
    <w:rPr>
      <w:rFonts w:ascii="Tahoma" w:hAnsi="Tahoma" w:cs="Times New Roman"/>
      <w:kern w:val="2"/>
    </w:rPr>
  </w:style>
  <w:style w:type="paragraph" w:customStyle="1" w:styleId="415">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uiPriority w:val="0"/>
    <w:pPr>
      <w:ind w:left="720"/>
    </w:pPr>
    <w:rPr>
      <w:rFonts w:ascii="Arial" w:hAnsi="Arial" w:eastAsia="黑体" w:cs="Times New Roman"/>
      <w:lang w:eastAsia="en-US"/>
    </w:rPr>
  </w:style>
  <w:style w:type="paragraph" w:customStyle="1" w:styleId="427">
    <w:name w:val="Char Char Char Char Char Char Char"/>
    <w:basedOn w:val="1"/>
    <w:uiPriority w:val="0"/>
    <w:pPr>
      <w:widowControl w:val="0"/>
    </w:pPr>
    <w:rPr>
      <w:rFonts w:ascii="Tahoma" w:hAnsi="Tahoma" w:cs="Times New Roman"/>
      <w:kern w:val="2"/>
      <w:szCs w:val="20"/>
    </w:rPr>
  </w:style>
  <w:style w:type="paragraph" w:customStyle="1" w:styleId="428">
    <w:name w:val="a"/>
    <w:basedOn w:val="1"/>
    <w:uiPriority w:val="0"/>
    <w:pPr>
      <w:spacing w:before="100" w:beforeAutospacing="1" w:after="100" w:afterAutospacing="1"/>
      <w:jc w:val="both"/>
    </w:pPr>
  </w:style>
  <w:style w:type="paragraph" w:customStyle="1" w:styleId="429">
    <w:name w:val="标题1，章节第一层"/>
    <w:basedOn w:val="239"/>
    <w:next w:val="239"/>
    <w:autoRedefine/>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uiPriority w:val="0"/>
    <w:pPr>
      <w:widowControl w:val="0"/>
      <w:jc w:val="both"/>
    </w:pPr>
    <w:rPr>
      <w:rFonts w:ascii="Tahoma" w:hAnsi="Tahoma" w:cs="Tahoma"/>
      <w:kern w:val="2"/>
      <w:szCs w:val="20"/>
    </w:rPr>
  </w:style>
  <w:style w:type="paragraph" w:customStyle="1" w:styleId="440">
    <w:name w:val="插图"/>
    <w:basedOn w:val="1"/>
    <w:autoRedefine/>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uiPriority w:val="0"/>
    <w:pPr>
      <w:spacing w:beforeLines="50" w:afterLines="50" w:line="240" w:lineRule="auto"/>
      <w:jc w:val="left"/>
    </w:pPr>
    <w:rPr>
      <w:rFonts w:cs="宋体"/>
      <w:sz w:val="30"/>
      <w:szCs w:val="20"/>
    </w:rPr>
  </w:style>
  <w:style w:type="paragraph" w:customStyle="1" w:styleId="447">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uiPriority w:val="0"/>
    <w:pPr>
      <w:spacing w:before="100" w:beforeAutospacing="1" w:after="100" w:afterAutospacing="1"/>
    </w:pPr>
    <w:rPr>
      <w:rFonts w:cs="Times New Roman"/>
      <w:b/>
      <w:bCs/>
    </w:rPr>
  </w:style>
  <w:style w:type="paragraph" w:customStyle="1" w:styleId="449">
    <w:name w:val="章标题"/>
    <w:next w:val="261"/>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Table Paragraph"/>
    <w:basedOn w:val="1"/>
    <w:autoRedefine/>
    <w:qFormat/>
    <w:uiPriority w:val="0"/>
    <w:pPr>
      <w:widowControl w:val="0"/>
      <w:spacing w:beforeLines="50" w:afterLines="50" w:line="360" w:lineRule="auto"/>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F089E-C889-4A73-9CDF-5256B7E556AB}">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17</Pages>
  <Words>1098</Words>
  <Characters>6262</Characters>
  <Lines>52</Lines>
  <Paragraphs>14</Paragraphs>
  <TotalTime>3</TotalTime>
  <ScaleCrop>false</ScaleCrop>
  <LinksUpToDate>false</LinksUpToDate>
  <CharactersWithSpaces>7346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2024-02-05T09:03:00Z</dcterms:created>
  <dc:creator>zhu eric</dc:creator>
  <cp:lastModifiedBy>说谎家咕咕咕</cp:lastModifiedBy>
  <dcterms:modified xsi:type="dcterms:W3CDTF">2024-02-06T02:56:56Z</dcterms:modified>
  <dc:title>海德曼昆腾风冷灭菌器产品技术参数及亮点</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197031FE8FD241EB92CF295649812383_12</vt:lpwstr>
  </property>
</Properties>
</file>